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905D" w14:textId="3E62C484" w:rsidR="00630E79" w:rsidRDefault="00630E79" w:rsidP="006727C2">
      <w:pPr>
        <w:spacing w:after="0" w:line="240" w:lineRule="auto"/>
        <w:rPr>
          <w:rFonts w:ascii="Palatino Linotype" w:eastAsia="Palatino Linotype" w:hAnsi="Palatino Linotype" w:cs="Palatino Linotype"/>
          <w:b/>
          <w:color w:val="C00000"/>
          <w:sz w:val="26"/>
          <w:szCs w:val="26"/>
        </w:rPr>
      </w:pPr>
    </w:p>
    <w:p w14:paraId="79705035" w14:textId="7FEC0326" w:rsidR="00B02ED1" w:rsidRDefault="00B02ED1" w:rsidP="006727C2">
      <w:pPr>
        <w:spacing w:after="0" w:line="240" w:lineRule="auto"/>
        <w:rPr>
          <w:rFonts w:ascii="Palatino Linotype" w:eastAsia="Palatino Linotype" w:hAnsi="Palatino Linotype" w:cs="Palatino Linotype"/>
          <w:b/>
          <w:sz w:val="26"/>
          <w:szCs w:val="26"/>
        </w:rPr>
      </w:pPr>
    </w:p>
    <w:p w14:paraId="771D7C86" w14:textId="77777777" w:rsidR="00B02ED1" w:rsidRPr="000530EA" w:rsidRDefault="00B02ED1" w:rsidP="00156630">
      <w:pPr>
        <w:spacing w:after="0" w:line="240" w:lineRule="auto"/>
        <w:rPr>
          <w:rFonts w:ascii="Palatino Linotype" w:eastAsia="Palatino Linotype" w:hAnsi="Palatino Linotype" w:cs="Palatino Linotype"/>
          <w:b/>
          <w:sz w:val="36"/>
          <w:szCs w:val="36"/>
          <w:lang w:val="de-DE"/>
        </w:rPr>
      </w:pPr>
    </w:p>
    <w:p w14:paraId="0A9D698A" w14:textId="2069112F" w:rsidR="00630E79" w:rsidRPr="000F1F54" w:rsidRDefault="000F1F54" w:rsidP="00156630">
      <w:pPr>
        <w:spacing w:after="0" w:line="240" w:lineRule="auto"/>
        <w:jc w:val="center"/>
        <w:rPr>
          <w:rFonts w:ascii="Palatino Linotype" w:eastAsia="Palatino Linotype" w:hAnsi="Palatino Linotype" w:cs="Palatino Linotype"/>
          <w:b/>
          <w:sz w:val="36"/>
          <w:szCs w:val="36"/>
          <w:lang w:val="de-DE"/>
        </w:rPr>
      </w:pPr>
      <w:r w:rsidRPr="000F1F54">
        <w:rPr>
          <w:rFonts w:ascii="Palatino Linotype" w:eastAsia="Palatino Linotype" w:hAnsi="Palatino Linotype" w:cs="Palatino Linotype"/>
          <w:b/>
          <w:sz w:val="36"/>
          <w:szCs w:val="36"/>
          <w:lang w:val="de-DE"/>
        </w:rPr>
        <w:t>BUMN Sebagai Penerima Hak Monopoli Berdasarkan Pasal 86M UU BUMN, dan Implikasi Yuridis Terhadap Persaingan Usaha di Indonesia</w:t>
      </w:r>
    </w:p>
    <w:p w14:paraId="53E67FF0" w14:textId="77777777" w:rsidR="00630E79" w:rsidRPr="000530EA" w:rsidRDefault="00630E79">
      <w:pPr>
        <w:spacing w:after="0" w:line="240" w:lineRule="auto"/>
        <w:jc w:val="center"/>
        <w:rPr>
          <w:rFonts w:ascii="Palatino Linotype" w:eastAsia="Palatino Linotype" w:hAnsi="Palatino Linotype" w:cs="Palatino Linotype"/>
          <w:sz w:val="26"/>
          <w:szCs w:val="26"/>
          <w:lang w:val="de-DE"/>
        </w:rPr>
      </w:pPr>
    </w:p>
    <w:p w14:paraId="3E0754CA" w14:textId="2E51F2E7" w:rsidR="00B02ED1" w:rsidRPr="000F1F54" w:rsidRDefault="000F1F54" w:rsidP="00B02ED1">
      <w:pPr>
        <w:spacing w:after="0"/>
        <w:jc w:val="center"/>
        <w:rPr>
          <w:rFonts w:ascii="Palatino Linotype" w:eastAsia="Palatino Linotype" w:hAnsi="Palatino Linotype" w:cs="Palatino Linotype"/>
          <w:iCs/>
          <w:sz w:val="26"/>
          <w:szCs w:val="26"/>
          <w:vertAlign w:val="superscript"/>
          <w:lang w:val="pt-BR"/>
        </w:rPr>
      </w:pPr>
      <w:r w:rsidRPr="000F1F54">
        <w:rPr>
          <w:rFonts w:ascii="Palatino Linotype" w:eastAsia="Palatino Linotype" w:hAnsi="Palatino Linotype" w:cs="Palatino Linotype"/>
          <w:iCs/>
          <w:sz w:val="26"/>
          <w:szCs w:val="26"/>
          <w:lang w:val="pt-BR"/>
        </w:rPr>
        <w:t>Veronica Tampubolon</w:t>
      </w:r>
      <w:r w:rsidR="005C3F12" w:rsidRPr="000F1F54">
        <w:rPr>
          <w:rFonts w:ascii="Palatino Linotype" w:eastAsia="Palatino Linotype" w:hAnsi="Palatino Linotype" w:cs="Palatino Linotype"/>
          <w:iCs/>
          <w:sz w:val="26"/>
          <w:szCs w:val="26"/>
          <w:vertAlign w:val="superscript"/>
          <w:lang w:val="pt-BR"/>
        </w:rPr>
        <w:t>1</w:t>
      </w:r>
    </w:p>
    <w:p w14:paraId="21E7CB09" w14:textId="3A4C8BEB" w:rsidR="00B02ED1" w:rsidRPr="000F1F54" w:rsidRDefault="00B02ED1" w:rsidP="00B02ED1">
      <w:pPr>
        <w:spacing w:after="0"/>
        <w:jc w:val="center"/>
        <w:rPr>
          <w:rFonts w:ascii="Palatino Linotype" w:eastAsia="Palatino Linotype" w:hAnsi="Palatino Linotype" w:cs="Palatino Linotype"/>
          <w:iCs/>
          <w:sz w:val="26"/>
          <w:szCs w:val="26"/>
          <w:lang w:val="pt-BR"/>
        </w:rPr>
      </w:pPr>
    </w:p>
    <w:p w14:paraId="187F7638" w14:textId="0E736923" w:rsidR="00B02ED1" w:rsidRPr="000F1F54" w:rsidRDefault="00581946" w:rsidP="005E4B53">
      <w:pPr>
        <w:spacing w:after="0"/>
        <w:jc w:val="center"/>
        <w:rPr>
          <w:rFonts w:ascii="Palatino Linotype" w:eastAsia="Palatino Linotype" w:hAnsi="Palatino Linotype" w:cs="Palatino Linotype"/>
          <w:iCs/>
          <w:sz w:val="26"/>
          <w:szCs w:val="26"/>
          <w:lang w:val="pt-BR"/>
        </w:rPr>
      </w:pPr>
      <w:r w:rsidRPr="000F1F54">
        <w:rPr>
          <w:rFonts w:ascii="Palatino Linotype" w:eastAsia="Palatino Linotype" w:hAnsi="Palatino Linotype" w:cs="Palatino Linotype"/>
          <w:iCs/>
          <w:sz w:val="26"/>
          <w:szCs w:val="26"/>
          <w:vertAlign w:val="superscript"/>
          <w:lang w:val="pt-BR"/>
        </w:rPr>
        <w:t xml:space="preserve">1 </w:t>
      </w:r>
      <w:r w:rsidRPr="000F1F54">
        <w:rPr>
          <w:rFonts w:ascii="Palatino Linotype" w:eastAsia="Palatino Linotype" w:hAnsi="Palatino Linotype" w:cs="Palatino Linotype"/>
          <w:iCs/>
          <w:sz w:val="26"/>
          <w:szCs w:val="26"/>
          <w:lang w:val="pt-BR"/>
        </w:rPr>
        <w:t xml:space="preserve">Universitas </w:t>
      </w:r>
      <w:r w:rsidR="000F1F54">
        <w:rPr>
          <w:rFonts w:ascii="Palatino Linotype" w:eastAsia="Palatino Linotype" w:hAnsi="Palatino Linotype" w:cs="Palatino Linotype"/>
          <w:iCs/>
          <w:sz w:val="26"/>
          <w:szCs w:val="26"/>
          <w:lang w:val="pt-BR"/>
        </w:rPr>
        <w:t>Sumatera Utara</w:t>
      </w:r>
      <w:r w:rsidRPr="000F1F54">
        <w:rPr>
          <w:rFonts w:ascii="Palatino Linotype" w:eastAsia="Palatino Linotype" w:hAnsi="Palatino Linotype" w:cs="Palatino Linotype"/>
          <w:iCs/>
          <w:sz w:val="26"/>
          <w:szCs w:val="26"/>
          <w:lang w:val="pt-BR"/>
        </w:rPr>
        <w:t xml:space="preserve">, </w:t>
      </w:r>
      <w:bookmarkStart w:id="0" w:name="_Hlk172188146"/>
      <w:r w:rsidRPr="000F1F54">
        <w:rPr>
          <w:rFonts w:ascii="Palatino Linotype" w:eastAsia="Palatino Linotype" w:hAnsi="Palatino Linotype" w:cs="Palatino Linotype"/>
          <w:iCs/>
          <w:sz w:val="26"/>
          <w:szCs w:val="26"/>
          <w:lang w:val="pt-BR"/>
        </w:rPr>
        <w:t>Indonesia</w:t>
      </w:r>
      <w:bookmarkEnd w:id="0"/>
    </w:p>
    <w:p w14:paraId="6ECDF281" w14:textId="12F74EF8" w:rsidR="002E74CB" w:rsidRPr="000F1F54" w:rsidRDefault="002E74CB" w:rsidP="002E74CB">
      <w:pPr>
        <w:spacing w:after="0"/>
        <w:jc w:val="center"/>
        <w:rPr>
          <w:rFonts w:ascii="Palatino Linotype" w:eastAsia="Palatino Linotype" w:hAnsi="Palatino Linotype" w:cs="Palatino Linotype"/>
          <w:iCs/>
          <w:sz w:val="26"/>
          <w:szCs w:val="26"/>
          <w:lang w:val="pt-BR"/>
        </w:rPr>
      </w:pPr>
    </w:p>
    <w:p w14:paraId="3005F414" w14:textId="3BC105F4" w:rsidR="002E74CB" w:rsidRPr="000F1F54" w:rsidRDefault="002E74CB" w:rsidP="00B02ED1">
      <w:pPr>
        <w:spacing w:after="0"/>
        <w:jc w:val="center"/>
        <w:rPr>
          <w:rFonts w:ascii="Palatino Linotype" w:eastAsia="Palatino Linotype" w:hAnsi="Palatino Linotype" w:cs="Palatino Linotype"/>
          <w:iCs/>
          <w:sz w:val="26"/>
          <w:szCs w:val="26"/>
          <w:lang w:val="pt-BR"/>
        </w:rPr>
      </w:pPr>
    </w:p>
    <w:p w14:paraId="770E42BF" w14:textId="3DF17F1B" w:rsidR="00F658AE" w:rsidRPr="00026EF7" w:rsidRDefault="00750BB9" w:rsidP="00B02ED1">
      <w:pPr>
        <w:spacing w:after="0"/>
        <w:jc w:val="center"/>
        <w:rPr>
          <w:rFonts w:ascii="Palatino Linotype" w:eastAsia="Palatino Linotype" w:hAnsi="Palatino Linotype" w:cs="Palatino Linotype"/>
          <w:iCs/>
          <w:sz w:val="26"/>
          <w:szCs w:val="26"/>
          <w:lang w:val="pt-BR"/>
        </w:rPr>
      </w:pPr>
      <w:r w:rsidRPr="00026EF7">
        <w:rPr>
          <w:rFonts w:ascii="Palatino Linotype" w:eastAsia="Palatino Linotype" w:hAnsi="Palatino Linotype" w:cs="Palatino Linotype"/>
          <w:iCs/>
          <w:sz w:val="26"/>
          <w:szCs w:val="26"/>
          <w:lang w:val="pt-BR"/>
        </w:rPr>
        <w:t>Email Korespondensi</w:t>
      </w:r>
      <w:r w:rsidR="00F658AE" w:rsidRPr="00026EF7">
        <w:rPr>
          <w:rFonts w:ascii="Palatino Linotype" w:eastAsia="Palatino Linotype" w:hAnsi="Palatino Linotype" w:cs="Palatino Linotype"/>
          <w:iCs/>
          <w:sz w:val="26"/>
          <w:szCs w:val="26"/>
          <w:lang w:val="pt-BR"/>
        </w:rPr>
        <w:t>:</w:t>
      </w:r>
    </w:p>
    <w:p w14:paraId="6CBBFD68" w14:textId="17EAEEEE" w:rsidR="00156630" w:rsidRPr="00026EF7" w:rsidRDefault="000F1F54" w:rsidP="00B02ED1">
      <w:pPr>
        <w:spacing w:after="0"/>
        <w:jc w:val="center"/>
        <w:rPr>
          <w:rFonts w:ascii="Palatino Linotype" w:eastAsia="Palatino Linotype" w:hAnsi="Palatino Linotype" w:cs="Palatino Linotype"/>
          <w:iCs/>
          <w:sz w:val="26"/>
          <w:szCs w:val="26"/>
          <w:lang w:val="pt-BR"/>
        </w:rPr>
      </w:pPr>
      <w:r w:rsidRPr="00026EF7">
        <w:rPr>
          <w:lang w:val="pt-BR"/>
        </w:rPr>
        <w:t xml:space="preserve"> </w:t>
      </w:r>
      <w:hyperlink r:id="rId8" w:history="1">
        <w:r w:rsidRPr="00026EF7">
          <w:rPr>
            <w:rStyle w:val="Hyperlink"/>
            <w:rFonts w:ascii="Palatino Linotype" w:eastAsia="Palatino Linotype" w:hAnsi="Palatino Linotype" w:cs="Palatino Linotype"/>
            <w:iCs/>
            <w:sz w:val="26"/>
            <w:szCs w:val="26"/>
            <w:lang w:val="pt-BR"/>
          </w:rPr>
          <w:t>veronica@indpex.com</w:t>
        </w:r>
      </w:hyperlink>
      <w:r w:rsidRPr="00026EF7">
        <w:rPr>
          <w:rFonts w:ascii="Palatino Linotype" w:eastAsia="Palatino Linotype" w:hAnsi="Palatino Linotype" w:cs="Palatino Linotype"/>
          <w:iCs/>
          <w:sz w:val="26"/>
          <w:szCs w:val="26"/>
          <w:lang w:val="pt-BR"/>
        </w:rPr>
        <w:t xml:space="preserve"> </w:t>
      </w:r>
      <w:r w:rsidR="005C3F12" w:rsidRPr="00026EF7">
        <w:rPr>
          <w:rFonts w:ascii="Palatino Linotype" w:eastAsia="Palatino Linotype" w:hAnsi="Palatino Linotype" w:cs="Palatino Linotype"/>
          <w:iCs/>
          <w:sz w:val="26"/>
          <w:szCs w:val="26"/>
          <w:lang w:val="pt-BR"/>
        </w:rPr>
        <w:t xml:space="preserve"> </w:t>
      </w:r>
      <w:r w:rsidRPr="00026EF7">
        <w:rPr>
          <w:rFonts w:ascii="Palatino Linotype" w:eastAsia="Palatino Linotype" w:hAnsi="Palatino Linotype" w:cs="Palatino Linotype"/>
          <w:iCs/>
          <w:sz w:val="26"/>
          <w:szCs w:val="26"/>
          <w:lang w:val="pt-BR"/>
        </w:rPr>
        <w:t xml:space="preserve"> </w:t>
      </w:r>
    </w:p>
    <w:p w14:paraId="296B2BA2" w14:textId="77777777" w:rsidR="00B02ED1" w:rsidRPr="00026EF7" w:rsidRDefault="00B02ED1" w:rsidP="00DF68E5">
      <w:pPr>
        <w:spacing w:after="0"/>
        <w:jc w:val="center"/>
        <w:rPr>
          <w:rFonts w:ascii="Palatino Linotype" w:eastAsia="Palatino Linotype" w:hAnsi="Palatino Linotype" w:cs="Palatino Linotype"/>
          <w:iCs/>
          <w:sz w:val="26"/>
          <w:szCs w:val="26"/>
          <w:lang w:val="pt-BR"/>
        </w:rPr>
      </w:pPr>
    </w:p>
    <w:p w14:paraId="16D85E3D" w14:textId="09A15818" w:rsidR="00156630" w:rsidRPr="000F1F54" w:rsidRDefault="00156630" w:rsidP="00DF68E5">
      <w:pPr>
        <w:spacing w:after="0"/>
        <w:jc w:val="center"/>
        <w:rPr>
          <w:rFonts w:ascii="Palatino Linotype" w:eastAsia="Palatino Linotype" w:hAnsi="Palatino Linotype" w:cs="Palatino Linotype"/>
          <w:iCs/>
          <w:sz w:val="26"/>
          <w:szCs w:val="26"/>
          <w:lang w:val="pt-BR"/>
        </w:rPr>
      </w:pPr>
      <w:r w:rsidRPr="000F1F54">
        <w:rPr>
          <w:rFonts w:ascii="Palatino Linotype" w:eastAsia="Palatino Linotype" w:hAnsi="Palatino Linotype" w:cs="Palatino Linotype"/>
          <w:b/>
          <w:bCs/>
          <w:iCs/>
          <w:sz w:val="26"/>
          <w:szCs w:val="26"/>
          <w:lang w:val="pt-BR"/>
        </w:rPr>
        <w:t>ABSTRAK</w:t>
      </w:r>
    </w:p>
    <w:p w14:paraId="37A7DD18" w14:textId="6FB8976A" w:rsidR="00FB667E" w:rsidRPr="000F1F54" w:rsidRDefault="000F1F54" w:rsidP="00DF68E5">
      <w:pPr>
        <w:spacing w:after="0" w:line="240" w:lineRule="auto"/>
        <w:jc w:val="both"/>
        <w:rPr>
          <w:rFonts w:ascii="Palatino Linotype" w:eastAsia="Palatino Linotype" w:hAnsi="Palatino Linotype" w:cs="Palatino Linotype"/>
          <w:iCs/>
          <w:sz w:val="26"/>
          <w:szCs w:val="26"/>
          <w:lang w:val="pt-BR"/>
        </w:rPr>
      </w:pPr>
      <w:bookmarkStart w:id="1" w:name="_Hlk190629629"/>
      <w:bookmarkStart w:id="2" w:name="_Hlk171957047"/>
      <w:r w:rsidRPr="000F1F54">
        <w:rPr>
          <w:rFonts w:ascii="Palatino Linotype" w:eastAsia="Palatino Linotype" w:hAnsi="Palatino Linotype" w:cs="Palatino Linotype"/>
          <w:iCs/>
          <w:sz w:val="26"/>
          <w:szCs w:val="26"/>
          <w:lang w:val="pt-BR"/>
        </w:rPr>
        <w:t xml:space="preserve">Transformasi pengelolaan Badan Usaha Milik Negara (BUMN) melalui Undang-Undang Nomor 9 Tahun 2003 sebagaimana diubah terakhir oleh Undang-Undang Nomor 1 Tahun 2025 dan Undang-Undang Nomor 16 Tahun 2025 (UU BUMN), menghadirkan perubahan mendasar dalam struktur kelembagaan dan strategi ekonomi nasional, salah satunya melalui pengaturan hak monopoli dalam Pasal 86M UU BUMN. Ketentuan ini memberikan kewenangan kepada Presiden untuk memberikan hak monopoli kepada BUMN atau anak usahanya dalam sektor-sektor strategis, yang berpotensi memengaruhi dinamika persaingan usaha di Indonesia. Penelitian ini bertujuan menganalisis dasar yuridis pemberian hak monopoli oleh Presiden kepada BUMN, jika pemberian hak monopoli dapat diperluas kepada anak usaha BUMN, serta mengkaji implikasinya terhadap prinsip persaingan usaha yang sehat dan pemberian kesempatan berusaha yang sama bagi setiap pelaku usaha di Indonesia. Metode penelitian yang digunakan </w:t>
      </w:r>
      <w:r w:rsidRPr="000F1F54">
        <w:rPr>
          <w:rFonts w:ascii="Palatino Linotype" w:eastAsia="Palatino Linotype" w:hAnsi="Palatino Linotype" w:cs="Palatino Linotype"/>
          <w:iCs/>
          <w:sz w:val="26"/>
          <w:szCs w:val="26"/>
          <w:lang w:val="pt-BR"/>
        </w:rPr>
        <w:lastRenderedPageBreak/>
        <w:t>adalah yuridis-normatif dengan pendekatan perundang-undangan, pendekatan konseptual, serta studi komparatif terhadap rezim persaingan usaha nasional dan praktik internasional. Hasil penelitian menunjukkan bahwa Pasal 86M UU BUMN dapat menjadi instrumen strategis negara untuk menjaga kepentingan ekonomi nasional, namun berpotensi menimbulkan distorsi pasar apabila tidak diatur dengan batasan dan mekanisme pengawasan yang ketat. Ketiadaan parameter yang jelas mengenai “hajat hidup orang banyak”, “cabang produksi penting”, dan “pertimbangan Presiden” menimbulkan ruang multisinterpretasi yang dapat mengganggu kepastian hukum. Penelitian ini menegaskan pentingnya harmonisasi antara UU BUMN dengan UU Persaingan Usaha serta perlunya pedoman teknis untuk memastikan bahwa pemberian monopoli tetap berada dalam kerangka konstitusional Pasal 33 UUD 1945, dan tidak mengganggu iklim usaha yang baik juga persaingan usaha yang sehat di Indonesia</w:t>
      </w:r>
      <w:r w:rsidR="0096097A" w:rsidRPr="000F1F54">
        <w:rPr>
          <w:rFonts w:ascii="Palatino Linotype" w:eastAsia="Palatino Linotype" w:hAnsi="Palatino Linotype" w:cs="Palatino Linotype"/>
          <w:iCs/>
          <w:sz w:val="26"/>
          <w:szCs w:val="26"/>
          <w:lang w:val="pt-BR"/>
        </w:rPr>
        <w:t>.</w:t>
      </w:r>
    </w:p>
    <w:p w14:paraId="475747DE" w14:textId="77777777" w:rsidR="0096097A" w:rsidRDefault="0096097A" w:rsidP="00DF68E5">
      <w:pPr>
        <w:spacing w:after="0" w:line="240" w:lineRule="auto"/>
        <w:jc w:val="both"/>
        <w:rPr>
          <w:rFonts w:ascii="Palatino Linotype" w:eastAsia="Palatino Linotype" w:hAnsi="Palatino Linotype" w:cs="Palatino Linotype"/>
          <w:b/>
          <w:sz w:val="26"/>
          <w:szCs w:val="26"/>
          <w:lang w:val="de-DE"/>
        </w:rPr>
      </w:pPr>
    </w:p>
    <w:p w14:paraId="7F4CEC30" w14:textId="13B4925E" w:rsidR="0096097A" w:rsidRPr="00BA5B7D" w:rsidRDefault="0096097A" w:rsidP="00DF68E5">
      <w:pPr>
        <w:spacing w:after="0" w:line="240" w:lineRule="auto"/>
        <w:jc w:val="both"/>
        <w:rPr>
          <w:rFonts w:ascii="Palatino Linotype" w:eastAsia="Palatino Linotype" w:hAnsi="Palatino Linotype" w:cs="Palatino Linotype"/>
          <w:iCs/>
          <w:sz w:val="26"/>
          <w:szCs w:val="26"/>
          <w:lang w:val="pt-BR"/>
        </w:rPr>
        <w:sectPr w:rsidR="0096097A" w:rsidRPr="00BA5B7D" w:rsidSect="00026EF7">
          <w:headerReference w:type="default" r:id="rId9"/>
          <w:footerReference w:type="default" r:id="rId10"/>
          <w:headerReference w:type="first" r:id="rId11"/>
          <w:pgSz w:w="12240" w:h="15840"/>
          <w:pgMar w:top="1440" w:right="1440" w:bottom="1440" w:left="1440" w:header="720" w:footer="720" w:gutter="0"/>
          <w:pgNumType w:start="260"/>
          <w:cols w:space="720"/>
          <w:docGrid w:linePitch="360"/>
        </w:sectPr>
      </w:pPr>
      <w:r w:rsidRPr="00495BFB">
        <w:rPr>
          <w:rFonts w:ascii="Palatino Linotype" w:eastAsia="Palatino Linotype" w:hAnsi="Palatino Linotype" w:cs="Palatino Linotype"/>
          <w:b/>
          <w:sz w:val="26"/>
          <w:szCs w:val="26"/>
          <w:lang w:val="de-DE"/>
        </w:rPr>
        <w:t>Kata Kunci</w:t>
      </w:r>
      <w:r>
        <w:rPr>
          <w:rFonts w:ascii="Palatino Linotype" w:eastAsia="Palatino Linotype" w:hAnsi="Palatino Linotype" w:cs="Palatino Linotype"/>
          <w:b/>
          <w:sz w:val="26"/>
          <w:szCs w:val="26"/>
          <w:lang w:val="de-DE"/>
        </w:rPr>
        <w:t xml:space="preserve"> : </w:t>
      </w:r>
      <w:r w:rsidR="000F1F54" w:rsidRPr="000F1F54">
        <w:rPr>
          <w:rFonts w:ascii="Palatino Linotype" w:eastAsia="Palatino Linotype" w:hAnsi="Palatino Linotype" w:cs="Palatino Linotype"/>
          <w:bCs/>
          <w:sz w:val="26"/>
          <w:szCs w:val="26"/>
          <w:lang w:val="de-DE"/>
        </w:rPr>
        <w:t>BUMN, Monopoli, Persaingan Usaha, , Danantara</w:t>
      </w:r>
      <w:r w:rsidRPr="00DB7C04">
        <w:rPr>
          <w:rFonts w:ascii="Palatino Linotype" w:eastAsia="Palatino Linotype" w:hAnsi="Palatino Linotype" w:cs="Palatino Linotype"/>
          <w:bCs/>
          <w:sz w:val="26"/>
          <w:szCs w:val="26"/>
          <w:lang w:val="de-DE"/>
        </w:rPr>
        <w:t>.</w:t>
      </w:r>
    </w:p>
    <w:p w14:paraId="73DD5140" w14:textId="5505BDE0" w:rsidR="00E05F93" w:rsidRPr="00BA5B7D" w:rsidRDefault="00E05F93" w:rsidP="00DF68E5">
      <w:pPr>
        <w:spacing w:after="0" w:line="240" w:lineRule="auto"/>
        <w:jc w:val="both"/>
        <w:rPr>
          <w:rFonts w:ascii="Palatino Linotype" w:eastAsia="Palatino Linotype" w:hAnsi="Palatino Linotype" w:cs="Palatino Linotype"/>
          <w:iCs/>
          <w:sz w:val="26"/>
          <w:szCs w:val="26"/>
          <w:lang w:val="pt-BR"/>
        </w:rPr>
        <w:sectPr w:rsidR="00E05F93" w:rsidRPr="00BA5B7D" w:rsidSect="00FB667E">
          <w:headerReference w:type="default" r:id="rId12"/>
          <w:type w:val="continuous"/>
          <w:pgSz w:w="12240" w:h="15840"/>
          <w:pgMar w:top="1440" w:right="1440" w:bottom="1440" w:left="1440" w:header="720" w:footer="720" w:gutter="0"/>
          <w:cols w:space="720"/>
          <w:docGrid w:linePitch="360"/>
        </w:sectPr>
      </w:pPr>
    </w:p>
    <w:bookmarkEnd w:id="1"/>
    <w:p w14:paraId="54B0BC4C" w14:textId="0D665A4E" w:rsidR="00156630" w:rsidRPr="00BA5B7D" w:rsidRDefault="00156630" w:rsidP="00DF68E5">
      <w:pPr>
        <w:spacing w:after="0" w:line="240" w:lineRule="auto"/>
        <w:jc w:val="both"/>
        <w:rPr>
          <w:rFonts w:ascii="Palatino Linotype" w:eastAsia="Palatino Linotype" w:hAnsi="Palatino Linotype" w:cs="Palatino Linotype"/>
          <w:iCs/>
          <w:sz w:val="26"/>
          <w:szCs w:val="26"/>
          <w:lang w:val="pt-BR"/>
        </w:rPr>
        <w:sectPr w:rsidR="00156630" w:rsidRPr="00BA5B7D" w:rsidSect="000D6E29">
          <w:headerReference w:type="default" r:id="rId13"/>
          <w:type w:val="continuous"/>
          <w:pgSz w:w="12240" w:h="15840"/>
          <w:pgMar w:top="1440" w:right="1440" w:bottom="1440" w:left="1440" w:header="720" w:footer="720" w:gutter="0"/>
          <w:cols w:space="720"/>
          <w:docGrid w:linePitch="360"/>
        </w:sectPr>
      </w:pPr>
    </w:p>
    <w:bookmarkEnd w:id="2"/>
    <w:p w14:paraId="3FC60433" w14:textId="77777777" w:rsidR="004018FA" w:rsidRDefault="004018FA" w:rsidP="00DF68E5">
      <w:pPr>
        <w:spacing w:after="0" w:line="240" w:lineRule="auto"/>
        <w:jc w:val="both"/>
        <w:rPr>
          <w:rFonts w:ascii="Palatino Linotype" w:eastAsia="Palatino Linotype" w:hAnsi="Palatino Linotype" w:cs="Palatino Linotype"/>
          <w:iCs/>
          <w:sz w:val="26"/>
          <w:szCs w:val="26"/>
          <w:lang w:val="de-DE"/>
        </w:rPr>
      </w:pPr>
    </w:p>
    <w:p w14:paraId="2A9BDE36" w14:textId="570D1AF7" w:rsidR="004018FA" w:rsidRPr="00932E71" w:rsidRDefault="004018FA" w:rsidP="004018FA">
      <w:pPr>
        <w:spacing w:after="0"/>
        <w:jc w:val="center"/>
        <w:rPr>
          <w:rFonts w:ascii="Palatino Linotype" w:eastAsia="Palatino Linotype" w:hAnsi="Palatino Linotype" w:cs="Palatino Linotype"/>
          <w:i/>
          <w:sz w:val="26"/>
          <w:szCs w:val="26"/>
        </w:rPr>
      </w:pPr>
      <w:r w:rsidRPr="00932E71">
        <w:rPr>
          <w:rFonts w:ascii="Palatino Linotype" w:eastAsia="Palatino Linotype" w:hAnsi="Palatino Linotype" w:cs="Palatino Linotype"/>
          <w:b/>
          <w:bCs/>
          <w:i/>
          <w:sz w:val="26"/>
          <w:szCs w:val="26"/>
        </w:rPr>
        <w:t>ABSTRAC</w:t>
      </w:r>
      <w:r w:rsidR="000F1F54">
        <w:rPr>
          <w:rFonts w:ascii="Palatino Linotype" w:eastAsia="Palatino Linotype" w:hAnsi="Palatino Linotype" w:cs="Palatino Linotype"/>
          <w:b/>
          <w:bCs/>
          <w:i/>
          <w:sz w:val="26"/>
          <w:szCs w:val="26"/>
        </w:rPr>
        <w:t>T</w:t>
      </w:r>
    </w:p>
    <w:p w14:paraId="34DC20E5" w14:textId="294E772B" w:rsidR="004018FA" w:rsidRPr="00932E71" w:rsidRDefault="000F1F54" w:rsidP="004018FA">
      <w:pPr>
        <w:spacing w:after="0" w:line="240" w:lineRule="auto"/>
        <w:jc w:val="both"/>
        <w:rPr>
          <w:rFonts w:ascii="Palatino Linotype" w:eastAsia="Palatino Linotype" w:hAnsi="Palatino Linotype" w:cs="Palatino Linotype"/>
          <w:i/>
          <w:sz w:val="26"/>
          <w:szCs w:val="26"/>
          <w:lang w:val="en-US"/>
        </w:rPr>
      </w:pPr>
      <w:r w:rsidRPr="000F1F54">
        <w:rPr>
          <w:rFonts w:ascii="Palatino Linotype" w:eastAsia="Palatino Linotype" w:hAnsi="Palatino Linotype" w:cs="Palatino Linotype"/>
          <w:i/>
          <w:sz w:val="26"/>
          <w:szCs w:val="26"/>
          <w:lang w:val="en-US"/>
        </w:rPr>
        <w:t xml:space="preserve">The transformation of State-Owned Enterprises (SOEs) under Law No. 9 of 2003 as lastly amended by Law No. 1 of 2025 and Law No. 16 of 2025 (SOE Law), introduces fundamental changes to Indonesia’s institutional and economic strategy, particularly through the regulation of monopoly rights in Article 86M SOE Law. This provision authorizes the President to grant monopoly privileges to SOEs or their subsidiaries in strategic sectors, potentially affecting the national competition landscape. This study aims to examine the legal basis for the President in granting monopoly rights to SOEs, whether the granting of monopoly rights could be extended to the SOE’s subsidiaries, and analyze its implications for legal certainty on the principle of fair business competition and equality on business opportunity for each business actor in Indonesia. Employing a normative juridical method with statutory, conceptual, and comparative approaches, this research evaluates the relationship between SOE monopoly rights and the national competition law regime. The findings reveal that while Article 86M SOE Law may serve as a strategic tool </w:t>
      </w:r>
      <w:r w:rsidRPr="000F1F54">
        <w:rPr>
          <w:rFonts w:ascii="Palatino Linotype" w:eastAsia="Palatino Linotype" w:hAnsi="Palatino Linotype" w:cs="Palatino Linotype"/>
          <w:i/>
          <w:sz w:val="26"/>
          <w:szCs w:val="26"/>
          <w:lang w:val="en-US"/>
        </w:rPr>
        <w:lastRenderedPageBreak/>
        <w:t>for safeguarding national economic interests, it also risks creating market distortions without clear parameters and adequate oversight. The absence of explicit criteria regarding “public interest,” “strategic sectors,” and “Presidential considerations” opens space for broad interpretation that may undermine legal certainty. This study highlights the urgency of harmonizing the SOE Law with the Competition Law and developing technical guidelines to ensure that monopoly rights remain consistent with Article 33 of the Indonesian Constitution (UUD 1945), and do not disrupt healthy market as well as fair business competition in Indonesia</w:t>
      </w:r>
      <w:r w:rsidR="00DB7C04" w:rsidRPr="00932E71">
        <w:rPr>
          <w:rFonts w:ascii="Palatino Linotype" w:eastAsia="Palatino Linotype" w:hAnsi="Palatino Linotype" w:cs="Palatino Linotype"/>
          <w:i/>
          <w:sz w:val="26"/>
          <w:szCs w:val="26"/>
          <w:lang w:val="en-US"/>
        </w:rPr>
        <w:t>.</w:t>
      </w:r>
    </w:p>
    <w:p w14:paraId="3AD07AF8" w14:textId="77777777" w:rsidR="004018FA" w:rsidRPr="004018FA" w:rsidRDefault="004018FA" w:rsidP="004018FA">
      <w:pPr>
        <w:spacing w:after="0" w:line="240" w:lineRule="auto"/>
        <w:jc w:val="both"/>
        <w:rPr>
          <w:rFonts w:ascii="Palatino Linotype" w:eastAsia="Palatino Linotype" w:hAnsi="Palatino Linotype" w:cs="Palatino Linotype"/>
          <w:iCs/>
          <w:sz w:val="26"/>
          <w:szCs w:val="26"/>
          <w:lang w:val="en-US"/>
        </w:rPr>
      </w:pPr>
    </w:p>
    <w:p w14:paraId="5C281032" w14:textId="0418B983" w:rsidR="004018FA" w:rsidRPr="000530EA" w:rsidRDefault="004018FA" w:rsidP="004018FA">
      <w:pPr>
        <w:spacing w:after="0" w:line="240" w:lineRule="auto"/>
        <w:rPr>
          <w:rFonts w:ascii="Palatino Linotype" w:eastAsia="Palatino Linotype" w:hAnsi="Palatino Linotype" w:cs="Palatino Linotype"/>
          <w:iCs/>
          <w:sz w:val="26"/>
          <w:szCs w:val="26"/>
          <w:lang w:val="de-DE"/>
        </w:rPr>
        <w:sectPr w:rsidR="004018FA" w:rsidRPr="000530EA" w:rsidSect="004018FA">
          <w:headerReference w:type="default" r:id="rId14"/>
          <w:type w:val="continuous"/>
          <w:pgSz w:w="12240" w:h="15840"/>
          <w:pgMar w:top="1440" w:right="1440" w:bottom="1440" w:left="1440" w:header="720" w:footer="720" w:gutter="0"/>
          <w:cols w:space="720"/>
          <w:docGrid w:linePitch="360"/>
        </w:sectPr>
      </w:pPr>
      <w:r w:rsidRPr="00932E71">
        <w:rPr>
          <w:rFonts w:ascii="Palatino Linotype" w:eastAsia="Palatino Linotype" w:hAnsi="Palatino Linotype" w:cs="Palatino Linotype"/>
          <w:b/>
          <w:i/>
          <w:iCs/>
          <w:sz w:val="26"/>
          <w:szCs w:val="26"/>
          <w:lang w:val="de-DE"/>
        </w:rPr>
        <w:t xml:space="preserve">Keywords: </w:t>
      </w:r>
      <w:r w:rsidR="000F1F54" w:rsidRPr="000F1F54">
        <w:rPr>
          <w:rFonts w:ascii="Palatino Linotype" w:eastAsia="Palatino Linotype" w:hAnsi="Palatino Linotype" w:cs="Palatino Linotype"/>
          <w:bCs/>
          <w:i/>
          <w:iCs/>
          <w:sz w:val="26"/>
          <w:szCs w:val="26"/>
          <w:lang w:val="de-DE"/>
        </w:rPr>
        <w:t>State-Owned Enterprises, Monopoly, Danantara</w:t>
      </w:r>
      <w:r>
        <w:rPr>
          <w:rFonts w:ascii="Palatino Linotype" w:eastAsia="Palatino Linotype" w:hAnsi="Palatino Linotype" w:cs="Palatino Linotype"/>
          <w:bCs/>
          <w:sz w:val="26"/>
          <w:szCs w:val="26"/>
          <w:lang w:val="de-DE"/>
        </w:rPr>
        <w:t>.</w:t>
      </w:r>
    </w:p>
    <w:p w14:paraId="1F8A1FBC" w14:textId="009B2629" w:rsidR="004018FA" w:rsidRPr="000530EA" w:rsidRDefault="004018FA" w:rsidP="00DF68E5">
      <w:pPr>
        <w:spacing w:after="0" w:line="240" w:lineRule="auto"/>
        <w:jc w:val="both"/>
        <w:rPr>
          <w:rFonts w:ascii="Palatino Linotype" w:eastAsia="Palatino Linotype" w:hAnsi="Palatino Linotype" w:cs="Palatino Linotype"/>
          <w:iCs/>
          <w:sz w:val="26"/>
          <w:szCs w:val="26"/>
          <w:lang w:val="de-DE"/>
        </w:rPr>
        <w:sectPr w:rsidR="004018FA" w:rsidRPr="000530EA" w:rsidSect="00156630">
          <w:headerReference w:type="default" r:id="rId15"/>
          <w:type w:val="continuous"/>
          <w:pgSz w:w="12240" w:h="15840"/>
          <w:pgMar w:top="1440" w:right="1440" w:bottom="1440" w:left="1440" w:header="720" w:footer="720" w:gutter="0"/>
          <w:cols w:space="720"/>
          <w:docGrid w:linePitch="360"/>
        </w:sectPr>
      </w:pPr>
    </w:p>
    <w:p w14:paraId="440E789E" w14:textId="7A362DFF" w:rsidR="002E74CB" w:rsidRPr="000530EA" w:rsidRDefault="002E74CB" w:rsidP="00DF68E5">
      <w:pPr>
        <w:spacing w:after="0" w:line="240" w:lineRule="auto"/>
        <w:rPr>
          <w:rFonts w:ascii="Palatino Linotype" w:eastAsia="Palatino Linotype" w:hAnsi="Palatino Linotype" w:cs="Palatino Linotype"/>
          <w:b/>
          <w:color w:val="17365D" w:themeColor="text2" w:themeShade="BF"/>
          <w:sz w:val="26"/>
          <w:szCs w:val="26"/>
          <w:lang w:val="de-DE"/>
        </w:rPr>
      </w:pPr>
    </w:p>
    <w:p w14:paraId="4C61AAC6" w14:textId="5BE7893F" w:rsidR="004A3168" w:rsidRPr="000F1F54" w:rsidRDefault="007E30CE" w:rsidP="000F1F54">
      <w:pPr>
        <w:pStyle w:val="ListParagraph"/>
        <w:numPr>
          <w:ilvl w:val="0"/>
          <w:numId w:val="1"/>
        </w:numPr>
        <w:spacing w:after="0" w:line="276" w:lineRule="auto"/>
        <w:jc w:val="both"/>
        <w:rPr>
          <w:rFonts w:ascii="Palatino Linotype" w:hAnsi="Palatino Linotype"/>
          <w:color w:val="17365D" w:themeColor="text2" w:themeShade="BF"/>
          <w:sz w:val="28"/>
          <w:szCs w:val="28"/>
        </w:rPr>
      </w:pPr>
      <w:proofErr w:type="spellStart"/>
      <w:r w:rsidRPr="007E30CE">
        <w:rPr>
          <w:rFonts w:ascii="Palatino Linotype" w:eastAsia="Palatino Linotype" w:hAnsi="Palatino Linotype" w:cs="Palatino Linotype"/>
          <w:b/>
          <w:color w:val="17365D" w:themeColor="text2" w:themeShade="BF"/>
          <w:sz w:val="32"/>
          <w:szCs w:val="32"/>
        </w:rPr>
        <w:t>Pendahuluan</w:t>
      </w:r>
      <w:proofErr w:type="spellEnd"/>
    </w:p>
    <w:p w14:paraId="3F05833A" w14:textId="77777777" w:rsidR="000F1F54" w:rsidRPr="0086616A" w:rsidRDefault="000F1F54" w:rsidP="000F1F54">
      <w:pPr>
        <w:pBdr>
          <w:top w:val="nil"/>
          <w:left w:val="nil"/>
          <w:bottom w:val="nil"/>
          <w:right w:val="nil"/>
          <w:between w:val="nil"/>
        </w:pBdr>
        <w:spacing w:before="1" w:line="276" w:lineRule="auto"/>
        <w:ind w:firstLine="567"/>
        <w:jc w:val="both"/>
        <w:rPr>
          <w:rFonts w:ascii="Palatino Linotype" w:hAnsi="Palatino Linotype"/>
          <w:sz w:val="26"/>
          <w:szCs w:val="26"/>
          <w:lang w:val="id"/>
        </w:rPr>
      </w:pPr>
      <w:r w:rsidRPr="0086616A">
        <w:rPr>
          <w:rFonts w:ascii="Palatino Linotype" w:hAnsi="Palatino Linotype"/>
          <w:sz w:val="26"/>
          <w:szCs w:val="26"/>
          <w:lang w:val="id"/>
        </w:rPr>
        <w:t>Keterlibatan Indonesia dalam berbagai dinamika global sejak pertengahan abad ke-20 telah membentuk arah perkembangan hukum dan kebijakan ekonomi nasional.</w:t>
      </w:r>
      <w:r w:rsidRPr="0086616A">
        <w:rPr>
          <w:rStyle w:val="FootnoteReference"/>
          <w:rFonts w:ascii="Palatino Linotype" w:hAnsi="Palatino Linotype"/>
          <w:sz w:val="26"/>
          <w:szCs w:val="26"/>
          <w:lang w:val="id"/>
        </w:rPr>
        <w:footnoteReference w:id="1"/>
      </w:r>
      <w:r w:rsidRPr="0086616A">
        <w:rPr>
          <w:rFonts w:ascii="Palatino Linotype" w:hAnsi="Palatino Linotype"/>
          <w:sz w:val="26"/>
          <w:szCs w:val="26"/>
          <w:lang w:val="id"/>
        </w:rPr>
        <w:t xml:space="preserve"> Keikutsertaan Indonesia dalam </w:t>
      </w:r>
      <w:r w:rsidRPr="0086616A">
        <w:rPr>
          <w:rFonts w:ascii="Palatino Linotype" w:hAnsi="Palatino Linotype"/>
          <w:i/>
          <w:sz w:val="26"/>
          <w:szCs w:val="26"/>
          <w:lang w:val="id"/>
        </w:rPr>
        <w:t>General Agreement on Tariffs and Trade</w:t>
      </w:r>
      <w:r w:rsidRPr="0086616A">
        <w:rPr>
          <w:rFonts w:ascii="Palatino Linotype" w:hAnsi="Palatino Linotype"/>
          <w:sz w:val="26"/>
          <w:szCs w:val="26"/>
          <w:lang w:val="id"/>
        </w:rPr>
        <w:t xml:space="preserve"> (GATT) sejak tahun 1950 dan ratifikasi </w:t>
      </w:r>
      <w:r w:rsidRPr="0086616A">
        <w:rPr>
          <w:rFonts w:ascii="Palatino Linotype" w:hAnsi="Palatino Linotype"/>
          <w:i/>
          <w:iCs/>
          <w:sz w:val="26"/>
          <w:szCs w:val="26"/>
          <w:lang w:val="id"/>
        </w:rPr>
        <w:t>Agreement Establishing the World Trade Organization</w:t>
      </w:r>
      <w:r w:rsidRPr="0086616A">
        <w:rPr>
          <w:rFonts w:ascii="Palatino Linotype" w:hAnsi="Palatino Linotype"/>
          <w:sz w:val="26"/>
          <w:szCs w:val="26"/>
          <w:lang w:val="id"/>
        </w:rPr>
        <w:t xml:space="preserve"> (WTO) melalui Undang-Undang Nomor 7 Tahun 1994 menjadi tonggak penting yang menempatkan Indonesia sebagai bagian dari sistem perdagangan internasional yang liberal dan terintegrasi.</w:t>
      </w:r>
      <w:r w:rsidRPr="0086616A">
        <w:rPr>
          <w:rStyle w:val="FootnoteReference"/>
          <w:rFonts w:ascii="Palatino Linotype" w:hAnsi="Palatino Linotype"/>
          <w:sz w:val="26"/>
          <w:szCs w:val="26"/>
          <w:lang w:val="id"/>
        </w:rPr>
        <w:footnoteReference w:id="2"/>
      </w:r>
      <w:r w:rsidRPr="0086616A">
        <w:rPr>
          <w:rFonts w:ascii="Palatino Linotype" w:hAnsi="Palatino Linotype"/>
          <w:sz w:val="26"/>
          <w:szCs w:val="26"/>
          <w:lang w:val="id"/>
        </w:rPr>
        <w:t xml:space="preserve"> Indonesia tidak hanya menjadi bagian dari WTO, tetapi juga ikut membidani terbentuknya APEC pada tahun 1989 serta tercatat sebagai anggota lebih dari 240 organisasi internasional hingga tahun 2018. Perkembangan terbaru ditandai dengan bergabungnya </w:t>
      </w:r>
      <w:r w:rsidRPr="0086616A">
        <w:rPr>
          <w:rFonts w:ascii="Palatino Linotype" w:hAnsi="Palatino Linotype"/>
          <w:sz w:val="26"/>
          <w:szCs w:val="26"/>
          <w:lang w:val="id"/>
        </w:rPr>
        <w:lastRenderedPageBreak/>
        <w:t>Indonesia ke dalam BRICS pada Januari 2025, menegaskan posisi Indonesia dalam konfigurasi ekonomi-politik global yang semakin multipolar.</w:t>
      </w:r>
    </w:p>
    <w:p w14:paraId="518810D3" w14:textId="77777777" w:rsidR="000F1F54" w:rsidRPr="0086616A" w:rsidRDefault="000F1F54" w:rsidP="000F1F54">
      <w:pPr>
        <w:pBdr>
          <w:top w:val="nil"/>
          <w:left w:val="nil"/>
          <w:bottom w:val="nil"/>
          <w:right w:val="nil"/>
          <w:between w:val="nil"/>
        </w:pBdr>
        <w:spacing w:before="1" w:line="276" w:lineRule="auto"/>
        <w:ind w:firstLine="567"/>
        <w:jc w:val="both"/>
        <w:rPr>
          <w:rFonts w:ascii="Palatino Linotype" w:hAnsi="Palatino Linotype"/>
          <w:sz w:val="26"/>
          <w:szCs w:val="26"/>
          <w:lang w:val="id"/>
        </w:rPr>
      </w:pPr>
      <w:r w:rsidRPr="0086616A">
        <w:rPr>
          <w:rFonts w:ascii="Palatino Linotype" w:hAnsi="Palatino Linotype"/>
          <w:sz w:val="26"/>
          <w:szCs w:val="26"/>
          <w:lang w:val="id"/>
        </w:rPr>
        <w:t>Seluruh interaksi internasional ini membawa konsekuensi terhadap sistem hukum Indonesia, yang secara bertahap mengalami harmonisasi agar sejalan dengan komitmen internasional di berbagai sektor. Globalisasi mendorong pembukaan pasar, liberalisasi investasi, serta perubahan paradigma pembangunan ekonomi yang mengharuskan adanya keterbukaan terhadap mekanisme persaingan usaha.</w:t>
      </w:r>
      <w:r w:rsidRPr="0086616A">
        <w:rPr>
          <w:rStyle w:val="FootnoteReference"/>
          <w:rFonts w:ascii="Palatino Linotype" w:hAnsi="Palatino Linotype"/>
          <w:sz w:val="26"/>
          <w:szCs w:val="26"/>
          <w:lang w:val="id"/>
        </w:rPr>
        <w:footnoteReference w:id="3"/>
      </w:r>
      <w:r w:rsidRPr="0086616A">
        <w:rPr>
          <w:rFonts w:ascii="Palatino Linotype" w:hAnsi="Palatino Linotype"/>
          <w:sz w:val="26"/>
          <w:szCs w:val="26"/>
          <w:lang w:val="id"/>
        </w:rPr>
        <w:t xml:space="preserve"> Keterlibatan aktif Indonesia dalam organisasi internasional dan rezim perdagangan global mempercepat kebutuhan perombakan hukum nasional agar mampu menjawab tantangan integrasi ekonomi dunia, termasuk dalam penataan ulang struktur BUMN dan sektor-sektor strategis nasional. Dalam konteks tersebut, berbagai regulasi nasional seperti Undang-Undang Persaingan Usaha (UU Nomor 5 Tahun 1999) dan Undang-Undang BUMN (UU Nomor 19 Tahun 2003) lahir sebagai bagian dari proses adaptasi terhadap tuntutan globalisasi dan demokratisasi ekonomi.</w:t>
      </w:r>
    </w:p>
    <w:p w14:paraId="6BFA56CD" w14:textId="77777777" w:rsidR="000F1F54" w:rsidRPr="0086616A" w:rsidRDefault="000F1F54" w:rsidP="000F1F54">
      <w:pPr>
        <w:pBdr>
          <w:top w:val="nil"/>
          <w:left w:val="nil"/>
          <w:bottom w:val="nil"/>
          <w:right w:val="nil"/>
          <w:between w:val="nil"/>
        </w:pBdr>
        <w:spacing w:before="1" w:line="276" w:lineRule="auto"/>
        <w:ind w:firstLine="567"/>
        <w:jc w:val="both"/>
        <w:rPr>
          <w:rFonts w:ascii="Palatino Linotype" w:hAnsi="Palatino Linotype"/>
          <w:sz w:val="26"/>
          <w:szCs w:val="26"/>
          <w:lang w:val="id"/>
        </w:rPr>
      </w:pPr>
      <w:r w:rsidRPr="0086616A">
        <w:rPr>
          <w:rFonts w:ascii="Palatino Linotype" w:hAnsi="Palatino Linotype"/>
          <w:sz w:val="26"/>
          <w:szCs w:val="26"/>
          <w:lang w:val="id"/>
        </w:rPr>
        <w:t xml:space="preserve">Peran BUMN memiliki karakter strategis bagi pembangunan nasional. Pada masa pascakrisis 1997–1998, BUMN diwajibkan menjalani reformasi struktural agar lebih akuntabel, efisien, dan profesional dalam menjalankan fungsi pelayanan publik maupun pengelolaan aset strategis negara. Krisis multidimensi telah menunjukkan bahwa dominasi negara melalui BUMN yang tidak dikelola secara modern dapat melahirkan inefisiensi dan beban fiskal. Oleh sebab itu, Undang-Undang BUMN 2003 dirancang untuk memperbaiki tata kelola, </w:t>
      </w:r>
      <w:r w:rsidRPr="0086616A">
        <w:rPr>
          <w:rFonts w:ascii="Palatino Linotype" w:hAnsi="Palatino Linotype"/>
          <w:sz w:val="26"/>
          <w:szCs w:val="26"/>
          <w:lang w:val="id"/>
        </w:rPr>
        <w:lastRenderedPageBreak/>
        <w:t>meningkatkan transparansi, serta mengarah pada penguatan keberlanjutan usaha.</w:t>
      </w:r>
      <w:r w:rsidRPr="0086616A">
        <w:rPr>
          <w:rStyle w:val="FootnoteReference"/>
          <w:rFonts w:ascii="Palatino Linotype" w:hAnsi="Palatino Linotype"/>
          <w:sz w:val="26"/>
          <w:szCs w:val="26"/>
          <w:lang w:val="id"/>
        </w:rPr>
        <w:footnoteReference w:id="4"/>
      </w:r>
    </w:p>
    <w:p w14:paraId="7DE0E2BE" w14:textId="77777777" w:rsidR="000F1F54" w:rsidRPr="0086616A" w:rsidRDefault="000F1F54" w:rsidP="000F1F54">
      <w:pPr>
        <w:pBdr>
          <w:top w:val="nil"/>
          <w:left w:val="nil"/>
          <w:bottom w:val="nil"/>
          <w:right w:val="nil"/>
          <w:between w:val="nil"/>
        </w:pBdr>
        <w:spacing w:before="1" w:line="276" w:lineRule="auto"/>
        <w:ind w:firstLine="567"/>
        <w:jc w:val="both"/>
        <w:rPr>
          <w:rFonts w:ascii="Palatino Linotype" w:hAnsi="Palatino Linotype"/>
          <w:sz w:val="26"/>
          <w:szCs w:val="26"/>
          <w:lang w:val="id"/>
        </w:rPr>
      </w:pPr>
      <w:r w:rsidRPr="0086616A">
        <w:rPr>
          <w:rFonts w:ascii="Palatino Linotype" w:hAnsi="Palatino Linotype"/>
          <w:sz w:val="26"/>
          <w:szCs w:val="26"/>
          <w:lang w:val="id"/>
        </w:rPr>
        <w:t>Namun, dua dekade setelah reformasi tersebut, situasi global berubah drastis. Tren megatrend dunia pada 2025–2045 seperti transformasi geopolitik, disrupsi teknologi, persaingan sumber daya, perubahan iklim, serta dinamika perdagangan internasional menuntut desain baru dalam manajemen BUMN. Menjawab tantangan tersebut, pemerintah melakukan transformasi kelembagaan melalui rangkaian perubahan UU BUMN hingga tahun 2025 yang melahirkan Danantara sebagai entitas pengelola investasi dan aset BUMN. Reformasi ini menciptakan pemisahan tegas antara fungsi regulasi (yang dilakukan oleh Badan Pengaturan BUMN) dan fungsi pengelolaan aset serta operasional (yang dilakukan oleh Danantara dan dua holding besarnya), sehingga struktur BUMN kini lebih mendekati model sovereign wealth fund yang mengedepankan profesionalisme, kecepatan pengambilan keputusan, dan daya saing global.</w:t>
      </w:r>
      <w:r w:rsidRPr="0086616A">
        <w:rPr>
          <w:rStyle w:val="FootnoteReference"/>
          <w:rFonts w:ascii="Palatino Linotype" w:hAnsi="Palatino Linotype"/>
          <w:sz w:val="26"/>
          <w:szCs w:val="26"/>
          <w:lang w:val="id"/>
        </w:rPr>
        <w:footnoteReference w:id="5"/>
      </w:r>
    </w:p>
    <w:p w14:paraId="37677EFF" w14:textId="77777777" w:rsidR="000F1F54" w:rsidRPr="0086616A" w:rsidRDefault="000F1F54" w:rsidP="000F1F54">
      <w:pPr>
        <w:pBdr>
          <w:top w:val="nil"/>
          <w:left w:val="nil"/>
          <w:bottom w:val="nil"/>
          <w:right w:val="nil"/>
          <w:between w:val="nil"/>
        </w:pBdr>
        <w:spacing w:before="1" w:line="276" w:lineRule="auto"/>
        <w:ind w:firstLine="567"/>
        <w:jc w:val="both"/>
        <w:rPr>
          <w:rFonts w:ascii="Palatino Linotype" w:hAnsi="Palatino Linotype"/>
          <w:sz w:val="26"/>
          <w:szCs w:val="26"/>
          <w:lang w:val="id"/>
        </w:rPr>
      </w:pPr>
      <w:r w:rsidRPr="0086616A">
        <w:rPr>
          <w:rFonts w:ascii="Palatino Linotype" w:hAnsi="Palatino Linotype"/>
          <w:sz w:val="26"/>
          <w:szCs w:val="26"/>
          <w:lang w:val="id"/>
        </w:rPr>
        <w:t xml:space="preserve">Salah satu perubahan paling fundamental dalam revisi UU BUMN adalah pengaturan mengenai Hak Monopoli dalam Pasal 86M. Pasal ini memberikan kewenangan kepada Presiden untuk menetapkan monopoli bagi BUMN atau anak usahanya guna memproduksi atau memasarkan barang dan jasa yang berkaitan dengan hajat hidup orang banyak atau cabang produksi penting bagi negara. Kewenangan ini bukan hanya menegaskan kembali kedudukan BUMN sebagai instrumen strategis negara, tetapi juga menandai perubahan orientasi </w:t>
      </w:r>
      <w:r w:rsidRPr="0086616A">
        <w:rPr>
          <w:rFonts w:ascii="Palatino Linotype" w:hAnsi="Palatino Linotype"/>
          <w:sz w:val="26"/>
          <w:szCs w:val="26"/>
          <w:lang w:val="id"/>
        </w:rPr>
        <w:lastRenderedPageBreak/>
        <w:t>kebijakan negara setelah dua dekade era demonopolisasi yang dipengaruhi oleh globalisasi dan intervensi lembaga internasional seperti IMF.</w:t>
      </w:r>
    </w:p>
    <w:p w14:paraId="187FCCBD" w14:textId="77777777" w:rsidR="000F1F54" w:rsidRPr="0086616A" w:rsidRDefault="000F1F54" w:rsidP="000F1F54">
      <w:pPr>
        <w:pBdr>
          <w:top w:val="nil"/>
          <w:left w:val="nil"/>
          <w:bottom w:val="nil"/>
          <w:right w:val="nil"/>
          <w:between w:val="nil"/>
        </w:pBdr>
        <w:spacing w:before="1" w:line="276" w:lineRule="auto"/>
        <w:ind w:firstLine="567"/>
        <w:jc w:val="both"/>
        <w:rPr>
          <w:rFonts w:ascii="Palatino Linotype" w:hAnsi="Palatino Linotype"/>
          <w:sz w:val="26"/>
          <w:szCs w:val="26"/>
          <w:lang w:val="id"/>
        </w:rPr>
      </w:pPr>
      <w:r w:rsidRPr="0086616A">
        <w:rPr>
          <w:rFonts w:ascii="Palatino Linotype" w:hAnsi="Palatino Linotype"/>
          <w:sz w:val="26"/>
          <w:szCs w:val="26"/>
          <w:lang w:val="id"/>
        </w:rPr>
        <w:t>Ketentuan monopoli dalam Pasal 86M menimbulkan dinamika baru dalam hukum persaingan usaha di Indonesia, mengingat Undang-Undang Nomor 5 Tahun 1999 pada dasarnya melarang praktik monopoli kecuali dalam keadaan tertentu yang ditetapkan oleh undang-undang dan hanya untuk sektor-sektor vital.</w:t>
      </w:r>
      <w:r w:rsidRPr="0086616A">
        <w:rPr>
          <w:rStyle w:val="FootnoteReference"/>
          <w:rFonts w:ascii="Palatino Linotype" w:hAnsi="Palatino Linotype"/>
          <w:sz w:val="26"/>
          <w:szCs w:val="26"/>
          <w:lang w:val="id"/>
        </w:rPr>
        <w:footnoteReference w:id="6"/>
      </w:r>
      <w:r w:rsidRPr="0086616A">
        <w:rPr>
          <w:rFonts w:ascii="Palatino Linotype" w:hAnsi="Palatino Linotype"/>
          <w:sz w:val="26"/>
          <w:szCs w:val="26"/>
          <w:lang w:val="id"/>
        </w:rPr>
        <w:t xml:space="preserve"> Perdebatan menjadi semakin relevan karena hak monopoli kini tidak hanya diberikan kepada BUMN, tetapi juga dapat diperluas kepada anak usaha BUMN, yang secara struktur bisnis beroperasi lebih fleksibel dan kompetitif. Kondisi ini berpotensi menciptakan distorsi pasar apabila tidak didukung oleh batasan normatif yang jelas.</w:t>
      </w:r>
    </w:p>
    <w:p w14:paraId="79DE28CD" w14:textId="77777777" w:rsidR="000F1F54" w:rsidRPr="0086616A" w:rsidRDefault="000F1F54" w:rsidP="000F1F54">
      <w:pPr>
        <w:pBdr>
          <w:top w:val="nil"/>
          <w:left w:val="nil"/>
          <w:bottom w:val="nil"/>
          <w:right w:val="nil"/>
          <w:between w:val="nil"/>
        </w:pBdr>
        <w:spacing w:before="1" w:line="276" w:lineRule="auto"/>
        <w:ind w:firstLine="567"/>
        <w:jc w:val="both"/>
        <w:rPr>
          <w:rFonts w:ascii="Palatino Linotype" w:hAnsi="Palatino Linotype"/>
          <w:sz w:val="26"/>
          <w:szCs w:val="26"/>
          <w:lang w:val="id"/>
        </w:rPr>
      </w:pPr>
      <w:r w:rsidRPr="0086616A">
        <w:rPr>
          <w:rFonts w:ascii="Palatino Linotype" w:hAnsi="Palatino Linotype"/>
          <w:sz w:val="26"/>
          <w:szCs w:val="26"/>
          <w:lang w:val="id"/>
        </w:rPr>
        <w:t>Konsekuensi atas pemberian hak monopoli semakin signifikan apabila dikaitkan dengan proyeksi pertumbuhan ekonomi nasional yang ditargetkan pemerintah mencapai 8% pada tahun 2029. Pemerintah menempatkan BUMN sebagai lokomotif ekonomi nasional, sementara OECD memproyeksikan pertumbuhan Indonesia lebih rendah dari target pemerintah. Untuk mencapai pertumbuhan ekonomi tinggi, iklim persaingan usaha yang sehat menjadi keharusan, karena investor tidak akan menanamkan modal tanpa kepastian perlindungan hukum terhadap mekanisme pasar. Dengan demikian, Pasal 86M secara langsung menimbulkan pertanyaan mendasar mengenai keseimbangan antara kepentingan negara untuk memberikan proteksi terhadap BUMN dan kebutuhan menciptakan ruang persaingan usaha yang adil bagi pelaku usaha lain.</w:t>
      </w:r>
    </w:p>
    <w:p w14:paraId="5AD03EE0" w14:textId="77777777" w:rsidR="000F1F54" w:rsidRPr="0086616A" w:rsidRDefault="000F1F54" w:rsidP="000F1F54">
      <w:pPr>
        <w:pBdr>
          <w:top w:val="nil"/>
          <w:left w:val="nil"/>
          <w:bottom w:val="nil"/>
          <w:right w:val="nil"/>
          <w:between w:val="nil"/>
        </w:pBdr>
        <w:spacing w:before="1" w:line="276" w:lineRule="auto"/>
        <w:ind w:firstLine="567"/>
        <w:jc w:val="both"/>
        <w:rPr>
          <w:rFonts w:ascii="Palatino Linotype" w:hAnsi="Palatino Linotype"/>
          <w:sz w:val="26"/>
          <w:szCs w:val="26"/>
          <w:lang w:val="id"/>
        </w:rPr>
      </w:pPr>
      <w:r w:rsidRPr="0086616A">
        <w:rPr>
          <w:rFonts w:ascii="Palatino Linotype" w:hAnsi="Palatino Linotype"/>
          <w:sz w:val="26"/>
          <w:szCs w:val="26"/>
          <w:lang w:val="id"/>
        </w:rPr>
        <w:t xml:space="preserve">Di sisi lain, perkembangan geopolitik global memperlihatkan bangkitnya kembali kebijakan proteksionisme di berbagai negara maju, termasuk Amerika </w:t>
      </w:r>
      <w:r w:rsidRPr="0086616A">
        <w:rPr>
          <w:rFonts w:ascii="Palatino Linotype" w:hAnsi="Palatino Linotype"/>
          <w:sz w:val="26"/>
          <w:szCs w:val="26"/>
          <w:lang w:val="id"/>
        </w:rPr>
        <w:lastRenderedPageBreak/>
        <w:t>Serikat melalui politik “</w:t>
      </w:r>
      <w:r w:rsidRPr="0086616A">
        <w:rPr>
          <w:rFonts w:ascii="Palatino Linotype" w:hAnsi="Palatino Linotype"/>
          <w:i/>
          <w:iCs/>
          <w:sz w:val="26"/>
          <w:szCs w:val="26"/>
          <w:lang w:val="id"/>
        </w:rPr>
        <w:t>America First</w:t>
      </w:r>
      <w:r w:rsidRPr="0086616A">
        <w:rPr>
          <w:rFonts w:ascii="Palatino Linotype" w:hAnsi="Palatino Linotype"/>
          <w:sz w:val="26"/>
          <w:szCs w:val="26"/>
          <w:lang w:val="id"/>
        </w:rPr>
        <w:t>” yang mendorong pendekatan nasionalistik dalam ekonomi. Fenomena ini menimbulkan diskursus apakah Indonesia melalui Pasal 86M sedang mengikuti tren global menuju re-nasionalisasi ekonomi melalui penguatan BUMN sebagai alat negara. Namun demikian, pemberian monopoli tanpa mekanisme kontrol yang kuat berpotensi mengulangi kelemahan masa lalu, seperti inefisiensi, stagnasi layanan, serta menurunnya daya saing sektor strategis.</w:t>
      </w:r>
    </w:p>
    <w:p w14:paraId="020901B4" w14:textId="77777777" w:rsidR="000F1F54" w:rsidRPr="0086616A" w:rsidRDefault="000F1F54" w:rsidP="000F1F54">
      <w:pPr>
        <w:pBdr>
          <w:top w:val="nil"/>
          <w:left w:val="nil"/>
          <w:bottom w:val="nil"/>
          <w:right w:val="nil"/>
          <w:between w:val="nil"/>
        </w:pBdr>
        <w:spacing w:before="1" w:line="276" w:lineRule="auto"/>
        <w:ind w:firstLine="567"/>
        <w:jc w:val="both"/>
        <w:rPr>
          <w:rFonts w:ascii="Palatino Linotype" w:hAnsi="Palatino Linotype"/>
          <w:sz w:val="26"/>
          <w:szCs w:val="26"/>
          <w:lang w:val="id"/>
        </w:rPr>
      </w:pPr>
      <w:r w:rsidRPr="0086616A">
        <w:rPr>
          <w:rFonts w:ascii="Palatino Linotype" w:hAnsi="Palatino Linotype"/>
          <w:sz w:val="26"/>
          <w:szCs w:val="26"/>
          <w:lang w:val="id"/>
        </w:rPr>
        <w:t>Penelusuran literatur menunjukkan bahwa belum terdapat penelitian yang secara khusus menelaah hak monopoli BUMN berdasarkan Pasal 86M UU BUMN dan implikasinya terhadap persaingan usaha dalam konteks transformasi kelembagaan BUMN melalui Danantara. Penelitian-penelitian sebelumnya umumnya hanya membahas aspek konseptual monopoli BUMN, prinsip kepastian hukum, atau studi sektoral terhadap pelaksanaan monopoli tertentu. Oleh karena itu, kajian ini memiliki urgensi ilmiah untuk mengisi kekosongan penelitian dengan menekankan pentingnya harmonisasi hukum nasional, kepastian hukum dalam pemberian hak monopoli, serta implikasinya terhadap persaingan usaha yang sehat dan amanat konstitusi Pasal 33 UUD 1945.</w:t>
      </w:r>
    </w:p>
    <w:p w14:paraId="37B893A9" w14:textId="2E930034" w:rsidR="000F1F54" w:rsidRPr="000F1F54" w:rsidRDefault="000F1F54" w:rsidP="000F1F54">
      <w:pPr>
        <w:spacing w:line="276" w:lineRule="auto"/>
        <w:ind w:firstLine="425"/>
        <w:jc w:val="both"/>
        <w:rPr>
          <w:rFonts w:ascii="Palatino Linotype" w:hAnsi="Palatino Linotype"/>
          <w:noProof/>
          <w:color w:val="FF0000"/>
          <w:sz w:val="26"/>
          <w:szCs w:val="26"/>
          <w:lang w:val="id-ID"/>
        </w:rPr>
      </w:pPr>
      <w:r w:rsidRPr="0086616A">
        <w:rPr>
          <w:rFonts w:ascii="Palatino Linotype" w:hAnsi="Palatino Linotype"/>
          <w:sz w:val="26"/>
          <w:szCs w:val="26"/>
          <w:lang w:val="id"/>
        </w:rPr>
        <w:t>Dengan demikian, penelitian ini tidak hanya berkontribusi terhadap literatur akademik, tetapi juga relevan secara praktis bagi pembuat kebijakan dalam merumuskan peraturan pelaksana Pasal 86M agar BUMN dapat bertransformasi secara profesional dan berdaya saing tanpa menimbulkan distorsi pasar serta tetap berada dalam koridor tujuan negara untuk menghadirkan kesejahteraan yang adil dan merata bagi seluruh rakyat Indonesia</w:t>
      </w:r>
    </w:p>
    <w:p w14:paraId="2D771A25" w14:textId="77777777" w:rsidR="00630E79" w:rsidRPr="000530EA" w:rsidRDefault="00630E79" w:rsidP="00DF68E5">
      <w:pPr>
        <w:spacing w:after="0" w:line="240" w:lineRule="auto"/>
        <w:jc w:val="both"/>
        <w:rPr>
          <w:rFonts w:ascii="Palatino Linotype" w:hAnsi="Palatino Linotype"/>
          <w:sz w:val="26"/>
          <w:szCs w:val="26"/>
          <w:lang w:val="de-DE"/>
        </w:rPr>
      </w:pPr>
    </w:p>
    <w:p w14:paraId="752F7979" w14:textId="120EE8CE" w:rsidR="00DB713C" w:rsidRPr="00DB713C" w:rsidRDefault="003A59B5" w:rsidP="00DB713C">
      <w:pPr>
        <w:pStyle w:val="ListParagraph"/>
        <w:numPr>
          <w:ilvl w:val="0"/>
          <w:numId w:val="1"/>
        </w:numPr>
        <w:spacing w:after="0" w:line="276" w:lineRule="auto"/>
        <w:jc w:val="both"/>
        <w:rPr>
          <w:rFonts w:ascii="Palatino Linotype" w:eastAsia="Palatino Linotype" w:hAnsi="Palatino Linotype" w:cs="Palatino Linotype"/>
          <w:b/>
          <w:color w:val="17365D" w:themeColor="text2" w:themeShade="BF"/>
          <w:sz w:val="32"/>
          <w:szCs w:val="32"/>
        </w:rPr>
      </w:pPr>
      <w:r>
        <w:rPr>
          <w:rFonts w:ascii="Palatino Linotype" w:eastAsia="Palatino Linotype" w:hAnsi="Palatino Linotype" w:cs="Palatino Linotype"/>
          <w:b/>
          <w:color w:val="17365D" w:themeColor="text2" w:themeShade="BF"/>
          <w:sz w:val="32"/>
          <w:szCs w:val="32"/>
        </w:rPr>
        <w:t xml:space="preserve">Metode </w:t>
      </w:r>
      <w:proofErr w:type="spellStart"/>
      <w:r>
        <w:rPr>
          <w:rFonts w:ascii="Palatino Linotype" w:eastAsia="Palatino Linotype" w:hAnsi="Palatino Linotype" w:cs="Palatino Linotype"/>
          <w:b/>
          <w:color w:val="17365D" w:themeColor="text2" w:themeShade="BF"/>
          <w:sz w:val="32"/>
          <w:szCs w:val="32"/>
        </w:rPr>
        <w:t>Penelitian</w:t>
      </w:r>
      <w:proofErr w:type="spellEnd"/>
    </w:p>
    <w:p w14:paraId="29F90AB8" w14:textId="3954695E" w:rsidR="00F06CED" w:rsidRPr="00F06CED" w:rsidRDefault="000F1F54" w:rsidP="00F06CED">
      <w:pPr>
        <w:pStyle w:val="JEM22aBODYARTIKEL"/>
        <w:spacing w:line="276" w:lineRule="auto"/>
        <w:ind w:firstLine="567"/>
        <w:rPr>
          <w:rFonts w:ascii="Palatino Linotype" w:hAnsi="Palatino Linotype" w:cs="Times New Roman"/>
          <w:sz w:val="26"/>
          <w:szCs w:val="26"/>
          <w:lang w:val="de-DE" w:eastAsia="en-ID"/>
        </w:rPr>
      </w:pPr>
      <w:r w:rsidRPr="0086616A">
        <w:rPr>
          <w:rFonts w:ascii="Palatino Linotype" w:hAnsi="Palatino Linotype"/>
          <w:color w:val="000000"/>
          <w:sz w:val="26"/>
          <w:szCs w:val="26"/>
          <w:lang w:val="id"/>
        </w:rPr>
        <w:t xml:space="preserve">Metode penelitian yang digunakan dalam tulisan ini berlandaskan pada penelitian hukum normatif yang memusatkan perhatian pada pengkajian norma, asas, dan doktrin hukum yang mengatur pemberian hak monopoli kepada BUMN </w:t>
      </w:r>
      <w:r w:rsidRPr="0086616A">
        <w:rPr>
          <w:rFonts w:ascii="Palatino Linotype" w:hAnsi="Palatino Linotype"/>
          <w:color w:val="000000"/>
          <w:sz w:val="26"/>
          <w:szCs w:val="26"/>
          <w:lang w:val="id"/>
        </w:rPr>
        <w:lastRenderedPageBreak/>
        <w:t>atau Anak Usahanya sebagaimana tercantum dalam Pasal 86M UU BUMN.</w:t>
      </w:r>
      <w:r w:rsidRPr="0086616A">
        <w:rPr>
          <w:rStyle w:val="FootnoteReference"/>
          <w:rFonts w:ascii="Palatino Linotype" w:hAnsi="Palatino Linotype"/>
          <w:color w:val="000000"/>
          <w:sz w:val="26"/>
          <w:szCs w:val="26"/>
          <w:lang w:val="id"/>
        </w:rPr>
        <w:footnoteReference w:id="7"/>
      </w:r>
      <w:r w:rsidRPr="0086616A">
        <w:rPr>
          <w:rFonts w:ascii="Palatino Linotype" w:hAnsi="Palatino Linotype"/>
          <w:color w:val="000000"/>
          <w:sz w:val="26"/>
          <w:szCs w:val="26"/>
          <w:lang w:val="id"/>
        </w:rPr>
        <w:t xml:space="preserve"> Sebagai penelitian doktrinal, pendekatan ini menempatkan hukum sebagai sistem normatif yang otonom, sehingga analisis diarahkan untuk menilai konsistensi internal, rasionalitas, serta keselarasan norma dalam mengatur monopoli negara dan implikasinya terhadap prinsip persaingan usaha sehat, kepastian hukum, serta amanat Pasal 33 UUD 1945. Penelitian ini menggunakan beberapa pendekatan untuk memperoleh gambaran yang komprehensif, antara lain pendekatan perundang-undangan untuk menelaah regulasi terkait BUMN, persaingan usaha, dan tata kelola badan usaha negara; pendekatan historis untuk memahami dinamika kebijakan monopoli dari era demonopolisasi pasca-krisis 1998 hingga munculnya kembali monopoli melalui mekanisme superholding; pendekatan konseptual untuk mengidentifikasi teori hukum mengenai peran negara dalam ekonomi dan struktur pasar.</w:t>
      </w:r>
      <w:r w:rsidRPr="0086616A">
        <w:rPr>
          <w:rStyle w:val="FootnoteReference"/>
          <w:rFonts w:ascii="Palatino Linotype" w:hAnsi="Palatino Linotype"/>
          <w:color w:val="000000"/>
          <w:sz w:val="26"/>
          <w:szCs w:val="26"/>
          <w:lang w:val="id"/>
        </w:rPr>
        <w:footnoteReference w:id="8"/>
      </w:r>
      <w:r w:rsidRPr="0086616A">
        <w:rPr>
          <w:rFonts w:ascii="Palatino Linotype" w:hAnsi="Palatino Linotype"/>
          <w:color w:val="000000"/>
          <w:sz w:val="26"/>
          <w:szCs w:val="26"/>
          <w:lang w:val="id"/>
        </w:rPr>
        <w:t xml:space="preserve"> Penelitian ini sepenuhnya bertumpu pada data sekunder yang meliputi bahan hukum primer seperti peraturan perundang-undangan dan putusan pengadilan, bahan hukum sekunder berupa literatur ilmiah, jurnal, dan pendapat para ahli, serta bahan hukum tersier seperti kamus hukum dan ensiklopedia. Pengumpulan data dilakukan melalui studi kepustakaan, kemudian dianalisis menggunakan teknik analisis kualitatif melalui penafsiran hukum, analisis isi, dan pengorganisasian argumentasi secara logis dan sistematis. Kesimpulan ditarik secara deduktif, yaitu dengan bergerak dari norma umum dan konsep teoretis menuju jawaban atas isu hukum yang menjadi fokus penelitian.</w:t>
      </w:r>
      <w:r w:rsidRPr="0086616A">
        <w:rPr>
          <w:rStyle w:val="FootnoteReference"/>
          <w:rFonts w:ascii="Palatino Linotype" w:hAnsi="Palatino Linotype"/>
          <w:color w:val="000000"/>
          <w:sz w:val="26"/>
          <w:szCs w:val="26"/>
          <w:lang w:val="id"/>
        </w:rPr>
        <w:footnoteReference w:id="9"/>
      </w:r>
    </w:p>
    <w:p w14:paraId="2FBAB444" w14:textId="77777777" w:rsidR="00630E79" w:rsidRPr="000530EA" w:rsidRDefault="00630E79" w:rsidP="00DF68E5">
      <w:pPr>
        <w:spacing w:after="0" w:line="240" w:lineRule="auto"/>
        <w:jc w:val="both"/>
        <w:rPr>
          <w:rFonts w:ascii="Palatino Linotype" w:hAnsi="Palatino Linotype"/>
          <w:sz w:val="26"/>
          <w:szCs w:val="26"/>
          <w:lang w:val="de-DE"/>
        </w:rPr>
      </w:pPr>
    </w:p>
    <w:p w14:paraId="25595D54" w14:textId="41DF54D2" w:rsidR="00FB1534" w:rsidRPr="00DB713C" w:rsidRDefault="003A59B5" w:rsidP="00DB713C">
      <w:pPr>
        <w:pStyle w:val="ListParagraph"/>
        <w:numPr>
          <w:ilvl w:val="0"/>
          <w:numId w:val="1"/>
        </w:numPr>
        <w:spacing w:after="0" w:line="276" w:lineRule="auto"/>
        <w:jc w:val="both"/>
        <w:rPr>
          <w:rFonts w:ascii="Palatino Linotype" w:eastAsia="Palatino Linotype" w:hAnsi="Palatino Linotype" w:cs="Palatino Linotype"/>
          <w:b/>
          <w:color w:val="17365D" w:themeColor="text2" w:themeShade="BF"/>
          <w:sz w:val="32"/>
          <w:szCs w:val="32"/>
        </w:rPr>
      </w:pPr>
      <w:proofErr w:type="spellStart"/>
      <w:r>
        <w:rPr>
          <w:rFonts w:ascii="Palatino Linotype" w:eastAsia="Palatino Linotype" w:hAnsi="Palatino Linotype" w:cs="Palatino Linotype"/>
          <w:b/>
          <w:color w:val="17365D" w:themeColor="text2" w:themeShade="BF"/>
          <w:sz w:val="32"/>
          <w:szCs w:val="32"/>
        </w:rPr>
        <w:lastRenderedPageBreak/>
        <w:t>Pembahasan</w:t>
      </w:r>
      <w:proofErr w:type="spellEnd"/>
    </w:p>
    <w:p w14:paraId="5F598E8E" w14:textId="77777777" w:rsidR="003A59B5" w:rsidRPr="00FB1534" w:rsidRDefault="003A59B5" w:rsidP="00FB1534">
      <w:pPr>
        <w:pStyle w:val="JEM22aBODYARTIKEL"/>
        <w:spacing w:line="276" w:lineRule="auto"/>
        <w:ind w:firstLine="567"/>
        <w:rPr>
          <w:rFonts w:ascii="Palatino Linotype" w:hAnsi="Palatino Linotype" w:cs="Times New Roman"/>
          <w:sz w:val="26"/>
          <w:szCs w:val="26"/>
          <w:lang w:eastAsia="en-ID"/>
        </w:rPr>
      </w:pPr>
    </w:p>
    <w:p w14:paraId="517BBE79" w14:textId="6B0C27FB" w:rsidR="000F1F54" w:rsidRPr="000F1F54" w:rsidRDefault="000F1F54" w:rsidP="000F1F54">
      <w:pPr>
        <w:pStyle w:val="JEM23SUBHEADING"/>
        <w:numPr>
          <w:ilvl w:val="0"/>
          <w:numId w:val="13"/>
        </w:numPr>
        <w:spacing w:line="276" w:lineRule="auto"/>
        <w:ind w:left="426" w:hanging="426"/>
        <w:rPr>
          <w:rFonts w:ascii="Century Schoolbook" w:hAnsi="Century Schoolbook"/>
          <w:color w:val="17365D" w:themeColor="text2" w:themeShade="BF"/>
          <w:sz w:val="26"/>
          <w:szCs w:val="26"/>
        </w:rPr>
      </w:pPr>
      <w:r w:rsidRPr="000F1F54">
        <w:rPr>
          <w:rFonts w:ascii="Century Schoolbook" w:hAnsi="Century Schoolbook"/>
          <w:color w:val="17365D" w:themeColor="text2" w:themeShade="BF"/>
          <w:sz w:val="26"/>
          <w:szCs w:val="26"/>
        </w:rPr>
        <w:t xml:space="preserve">Dasar Hukum dan </w:t>
      </w:r>
      <w:proofErr w:type="spellStart"/>
      <w:r w:rsidRPr="000F1F54">
        <w:rPr>
          <w:rFonts w:ascii="Century Schoolbook" w:hAnsi="Century Schoolbook"/>
          <w:color w:val="17365D" w:themeColor="text2" w:themeShade="BF"/>
          <w:sz w:val="26"/>
          <w:szCs w:val="26"/>
        </w:rPr>
        <w:t>Karakteristik</w:t>
      </w:r>
      <w:proofErr w:type="spellEnd"/>
      <w:r w:rsidRPr="000F1F54">
        <w:rPr>
          <w:rFonts w:ascii="Century Schoolbook" w:hAnsi="Century Schoolbook"/>
          <w:color w:val="17365D" w:themeColor="text2" w:themeShade="BF"/>
          <w:sz w:val="26"/>
          <w:szCs w:val="26"/>
        </w:rPr>
        <w:t xml:space="preserve"> Hak Monopoli BUMN </w:t>
      </w:r>
      <w:proofErr w:type="spellStart"/>
      <w:r w:rsidRPr="000F1F54">
        <w:rPr>
          <w:rFonts w:ascii="Century Schoolbook" w:hAnsi="Century Schoolbook"/>
          <w:color w:val="17365D" w:themeColor="text2" w:themeShade="BF"/>
          <w:sz w:val="26"/>
          <w:szCs w:val="26"/>
        </w:rPr>
        <w:t>dalam</w:t>
      </w:r>
      <w:proofErr w:type="spellEnd"/>
      <w:r w:rsidRPr="000F1F54">
        <w:rPr>
          <w:rFonts w:ascii="Century Schoolbook" w:hAnsi="Century Schoolbook"/>
          <w:color w:val="17365D" w:themeColor="text2" w:themeShade="BF"/>
          <w:sz w:val="26"/>
          <w:szCs w:val="26"/>
        </w:rPr>
        <w:t xml:space="preserve"> Pasal 86M UU BUMN</w:t>
      </w:r>
    </w:p>
    <w:p w14:paraId="13471A27" w14:textId="77777777" w:rsidR="000F1F54" w:rsidRPr="0086616A" w:rsidRDefault="000F1F54" w:rsidP="000F1F54">
      <w:pPr>
        <w:spacing w:line="276" w:lineRule="auto"/>
        <w:ind w:firstLine="360"/>
        <w:jc w:val="both"/>
        <w:rPr>
          <w:rFonts w:ascii="Palatino Linotype" w:hAnsi="Palatino Linotype"/>
          <w:sz w:val="26"/>
          <w:szCs w:val="26"/>
          <w:lang w:val="id"/>
        </w:rPr>
      </w:pPr>
      <w:r w:rsidRPr="0086616A">
        <w:rPr>
          <w:rFonts w:ascii="Palatino Linotype" w:hAnsi="Palatino Linotype"/>
          <w:sz w:val="26"/>
          <w:szCs w:val="26"/>
          <w:lang w:val="id"/>
        </w:rPr>
        <w:t>Pemberian hak monopoli kepada Badan Usaha Milik Negara (BUMN) melalui Pasal 86M Undang-Undang Nomor 1 Tahun 2025 tentang Perubahan Keempat atas UU BUMN merupakan perkembangan signifikan dalam politik hukum pengelolaan perekonomian nasional.</w:t>
      </w:r>
      <w:r w:rsidRPr="0086616A">
        <w:rPr>
          <w:rStyle w:val="FootnoteReference"/>
          <w:rFonts w:ascii="Palatino Linotype" w:hAnsi="Palatino Linotype"/>
          <w:sz w:val="26"/>
          <w:szCs w:val="26"/>
          <w:lang w:val="id"/>
        </w:rPr>
        <w:footnoteReference w:id="10"/>
      </w:r>
      <w:r w:rsidRPr="0086616A">
        <w:rPr>
          <w:rFonts w:ascii="Palatino Linotype" w:hAnsi="Palatino Linotype"/>
          <w:sz w:val="26"/>
          <w:szCs w:val="26"/>
          <w:lang w:val="id"/>
        </w:rPr>
        <w:t xml:space="preserve"> Ketentuan ini menegaskan bahwa Presiden dapat memberikan hak monopoli kepada BUMN atau Anak Usaha BUMN untuk memproduksi dan/atau memasarkan barang dan jasa yang berkaitan dengan hajat hidup orang banyak atau cabang produksi yang penting bagi negara, sepanjang hal tersebut didasari pada pertimbangan kepentingan negara. Secara normatif, pasal ini lahir dari kebutuhan menegaskan peran negara dalam sektor-sektor strategis, sekaligus mengkonsolidasikan tata kelola BUMN melalui pembentukan Danantara sebagai struktur superholding yang diberi mandat mengelola aset BUMN secara lebih terintegrasi dan berorientasi pada daya saing global.</w:t>
      </w:r>
      <w:r w:rsidRPr="0086616A">
        <w:rPr>
          <w:rStyle w:val="FootnoteReference"/>
          <w:rFonts w:ascii="Palatino Linotype" w:hAnsi="Palatino Linotype"/>
          <w:sz w:val="26"/>
          <w:szCs w:val="26"/>
          <w:lang w:val="id"/>
        </w:rPr>
        <w:footnoteReference w:id="11"/>
      </w:r>
    </w:p>
    <w:p w14:paraId="29C2F6C1" w14:textId="77777777" w:rsidR="000F1F54" w:rsidRPr="0086616A" w:rsidRDefault="000F1F54" w:rsidP="000F1F54">
      <w:pPr>
        <w:spacing w:line="276" w:lineRule="auto"/>
        <w:ind w:firstLine="360"/>
        <w:jc w:val="both"/>
        <w:rPr>
          <w:rFonts w:ascii="Palatino Linotype" w:hAnsi="Palatino Linotype"/>
          <w:sz w:val="26"/>
          <w:szCs w:val="26"/>
          <w:lang w:val="id"/>
        </w:rPr>
      </w:pPr>
      <w:r w:rsidRPr="0086616A">
        <w:rPr>
          <w:rFonts w:ascii="Palatino Linotype" w:hAnsi="Palatino Linotype"/>
          <w:sz w:val="26"/>
          <w:szCs w:val="26"/>
          <w:lang w:val="id"/>
        </w:rPr>
        <w:t xml:space="preserve">Jika ditinjau secara historis, Pasal 86M mencerminkan pergeseran paradigma hukum ekonomi Indonesia setelah lebih dari dua dekade menganut kebijakan demonopolisasi pasca-krisis 1997–1998. Pada era tersebut, kewajiban liberalisasi sektor-sektor tertentu mendorong pembatasan monopoli BUMN dan memperluas ruang kompetisi sebagai bagian dari reformasi struktural yang dipengaruhi oleh </w:t>
      </w:r>
      <w:r w:rsidRPr="0086616A">
        <w:rPr>
          <w:rFonts w:ascii="Palatino Linotype" w:hAnsi="Palatino Linotype"/>
          <w:sz w:val="26"/>
          <w:szCs w:val="26"/>
          <w:lang w:val="id"/>
        </w:rPr>
        <w:lastRenderedPageBreak/>
        <w:t xml:space="preserve">komitmen internasional seperti </w:t>
      </w:r>
      <w:r w:rsidRPr="0086616A">
        <w:rPr>
          <w:rFonts w:ascii="Palatino Linotype" w:hAnsi="Palatino Linotype"/>
          <w:i/>
          <w:iCs/>
          <w:sz w:val="26"/>
          <w:szCs w:val="26"/>
          <w:lang w:val="id"/>
        </w:rPr>
        <w:t>Letter of Intent</w:t>
      </w:r>
      <w:r w:rsidRPr="0086616A">
        <w:rPr>
          <w:rFonts w:ascii="Palatino Linotype" w:hAnsi="Palatino Linotype"/>
          <w:sz w:val="26"/>
          <w:szCs w:val="26"/>
          <w:lang w:val="id"/>
        </w:rPr>
        <w:t xml:space="preserve"> dengan IMF.</w:t>
      </w:r>
      <w:r w:rsidRPr="0086616A">
        <w:rPr>
          <w:rStyle w:val="FootnoteReference"/>
          <w:rFonts w:ascii="Palatino Linotype" w:hAnsi="Palatino Linotype"/>
          <w:sz w:val="26"/>
          <w:szCs w:val="26"/>
          <w:lang w:val="id"/>
        </w:rPr>
        <w:footnoteReference w:id="12"/>
      </w:r>
      <w:r w:rsidRPr="0086616A">
        <w:rPr>
          <w:rFonts w:ascii="Palatino Linotype" w:hAnsi="Palatino Linotype"/>
          <w:sz w:val="26"/>
          <w:szCs w:val="26"/>
          <w:lang w:val="id"/>
        </w:rPr>
        <w:t xml:space="preserve"> Namun, perkembangan geopolitik global, disrupsi rantai pasok, serta meningkatnya urgensi kedaulatan ekonomi mendorong negara melakukan reposisi terhadap peran BUMN. Pasal 86M, dalam kerangka ini, dapat dibaca sebagai respons kebijakan negara untuk memperkuat kontrol ekonomi strategis dan memastikan pasokan barang atau jasa vital tetap berada di bawah penguasaan nasional. Dengan demikian, dasar hukumnya tidak hanya bersifat tekstual, tetapi juga bersumber dari mandat konstitusional Pasal 33 UUD 1945 yang menghendaki penguasaan negara atas cabang produksi penting bagi negara dan hajat hidup orang banyak.</w:t>
      </w:r>
      <w:r w:rsidRPr="0086616A">
        <w:rPr>
          <w:rStyle w:val="FootnoteReference"/>
          <w:rFonts w:ascii="Palatino Linotype" w:hAnsi="Palatino Linotype"/>
          <w:sz w:val="26"/>
          <w:szCs w:val="26"/>
          <w:lang w:val="id"/>
        </w:rPr>
        <w:footnoteReference w:id="13"/>
      </w:r>
    </w:p>
    <w:p w14:paraId="37810083" w14:textId="77777777" w:rsidR="000F1F54" w:rsidRPr="0086616A" w:rsidRDefault="000F1F54" w:rsidP="000F1F54">
      <w:pPr>
        <w:spacing w:line="276" w:lineRule="auto"/>
        <w:ind w:firstLine="360"/>
        <w:jc w:val="both"/>
        <w:rPr>
          <w:rFonts w:ascii="Palatino Linotype" w:hAnsi="Palatino Linotype"/>
          <w:sz w:val="26"/>
          <w:szCs w:val="26"/>
          <w:lang w:val="id"/>
        </w:rPr>
      </w:pPr>
      <w:r w:rsidRPr="0086616A">
        <w:rPr>
          <w:rFonts w:ascii="Palatino Linotype" w:hAnsi="Palatino Linotype"/>
          <w:sz w:val="26"/>
          <w:szCs w:val="26"/>
          <w:lang w:val="id"/>
        </w:rPr>
        <w:t xml:space="preserve">Karakteristik utama hak monopoli dalam Pasal 86M terletak pada fleksibilitas kewenangan Presiden serta cakupan subjek hukum yang diperluas tidak hanya kepada BUMN, tetapi juga Anak Usaha BUMN. Ekspansi ini menimbulkan konsekuensi yuridis yang kompleks karena anak perusahaan BUMN pada dasarnya tunduk pada rezim hukum korporasi yang berorientasi profit, bukan pada mandat pelayanan publik sebagaimana diemban BUMN. Dengan membuka kemungkinan bahwa entitas yang secara formal bukan badan hukum negara dapat menguasai sektor strategis, Pasal 86M memunculkan pertanyaan mengenai batas keabsahan monopoli dan bagaimana kontrol negara tetap terjamin. Hal ini semakin penting mengingat Anak Usaha BUMN tidak selalu diawasi langsung oleh pemerintah, melainkan oleh holding atau subholding, sehingga potensi </w:t>
      </w:r>
      <w:r w:rsidRPr="0086616A">
        <w:rPr>
          <w:rFonts w:ascii="Palatino Linotype" w:hAnsi="Palatino Linotype"/>
          <w:sz w:val="26"/>
          <w:szCs w:val="26"/>
          <w:lang w:val="id"/>
        </w:rPr>
        <w:lastRenderedPageBreak/>
        <w:t>deviasi kebijakan publik lebih besar jika tidak ada parameter normatif yang jelas mengenai pelaksanaan monopoli tersebut.</w:t>
      </w:r>
    </w:p>
    <w:p w14:paraId="6AFD767B" w14:textId="77777777" w:rsidR="000F1F54" w:rsidRPr="0086616A" w:rsidRDefault="000F1F54" w:rsidP="000F1F54">
      <w:pPr>
        <w:spacing w:line="276" w:lineRule="auto"/>
        <w:ind w:firstLine="360"/>
        <w:jc w:val="both"/>
        <w:rPr>
          <w:rFonts w:ascii="Palatino Linotype" w:hAnsi="Palatino Linotype"/>
          <w:sz w:val="26"/>
          <w:szCs w:val="26"/>
          <w:lang w:val="id"/>
        </w:rPr>
      </w:pPr>
      <w:r w:rsidRPr="0086616A">
        <w:rPr>
          <w:rFonts w:ascii="Palatino Linotype" w:hAnsi="Palatino Linotype"/>
          <w:color w:val="000000" w:themeColor="text1"/>
          <w:sz w:val="26"/>
          <w:szCs w:val="26"/>
          <w:lang w:val="id"/>
        </w:rPr>
        <w:t>Secara teoritis, monopoli negara yang diatur dalam Pasal 86M harus dibedakan dari monopoli privat yang dilarang oleh UU Anti Monopoli. Monopoli negara dianggap sebagai instrumen kebijakan publik yang sah sepanjang dilandasi kepentingan umum, efisiensi nasional, dan prinsip nilai kemanfaatan sosial. Namun, ketentuan Pasal 86M masih menyisakan ambiguitas konseptual karena frasa “pertimbangan Presiden” dan “kepentingan negara” tidak dijelaskan lebih lanjut dalam undang-undang. Kekosongan definisi ini berpotensi melahirkan subjektivitas dalam penetapan monopoli, sehingga rawan diperdebatkan dalam konteks kepastian hukum. Hal ini karena monopoli BUMN kerap dikaji dari berbagai aspek agar dapat ditinjau pertimbangan dari kebijakan peningkatan proteksi terhadap BUMN dalam sektor strategis dengan alasannya klasik: kepentingan negara, stabilitas ekonomi, dan perlindungan kepentingan umum.</w:t>
      </w:r>
      <w:r w:rsidRPr="0086616A">
        <w:rPr>
          <w:rFonts w:ascii="Palatino Linotype" w:hAnsi="Palatino Linotype"/>
          <w:color w:val="000000" w:themeColor="text1"/>
          <w:sz w:val="26"/>
          <w:szCs w:val="26"/>
          <w:vertAlign w:val="superscript"/>
          <w:lang w:val="id"/>
        </w:rPr>
        <w:footnoteReference w:id="14"/>
      </w:r>
      <w:r w:rsidRPr="0086616A">
        <w:rPr>
          <w:rFonts w:ascii="Palatino Linotype" w:hAnsi="Palatino Linotype"/>
          <w:sz w:val="26"/>
          <w:szCs w:val="26"/>
          <w:lang w:val="id"/>
        </w:rPr>
        <w:t xml:space="preserve"> Untuk itu, karakteristik hak monopoli sebagaimana dimaksud Pasal 86M menuntut kehadiran peraturan pelaksana yang menetapkan parameter objektif seperti urgensi publik, risiko kebutuhan strategis, dampak sosial-ekonomi, tingkat keterlibatan pasar, dan rasionalitas politik hukum yang mendasari pemberian monopoli.</w:t>
      </w:r>
    </w:p>
    <w:p w14:paraId="18B7452C" w14:textId="77777777" w:rsidR="000F1F54" w:rsidRPr="0086616A" w:rsidRDefault="000F1F54" w:rsidP="000F1F54">
      <w:pPr>
        <w:spacing w:line="276" w:lineRule="auto"/>
        <w:ind w:firstLine="360"/>
        <w:jc w:val="both"/>
        <w:rPr>
          <w:rFonts w:ascii="Palatino Linotype" w:hAnsi="Palatino Linotype"/>
          <w:sz w:val="26"/>
          <w:szCs w:val="26"/>
          <w:lang w:val="id"/>
        </w:rPr>
      </w:pPr>
      <w:r w:rsidRPr="0086616A">
        <w:rPr>
          <w:rFonts w:ascii="Palatino Linotype" w:hAnsi="Palatino Linotype"/>
          <w:sz w:val="26"/>
          <w:szCs w:val="26"/>
          <w:lang w:val="id"/>
        </w:rPr>
        <w:t>Lebih jauh, pemberian monopoli kepada BUMN melalui Pasal 86M tidak dapat dilepaskan dari konsepsi state intervention yang diakui dalam sistem ekonomi Pancasila.</w:t>
      </w:r>
      <w:r w:rsidRPr="0086616A">
        <w:rPr>
          <w:rStyle w:val="FootnoteReference"/>
          <w:rFonts w:ascii="Palatino Linotype" w:hAnsi="Palatino Linotype"/>
          <w:sz w:val="26"/>
          <w:szCs w:val="26"/>
          <w:lang w:val="id"/>
        </w:rPr>
        <w:footnoteReference w:id="15"/>
      </w:r>
      <w:r w:rsidRPr="0086616A">
        <w:rPr>
          <w:rFonts w:ascii="Palatino Linotype" w:hAnsi="Palatino Linotype"/>
          <w:sz w:val="26"/>
          <w:szCs w:val="26"/>
          <w:lang w:val="id"/>
        </w:rPr>
        <w:t xml:space="preserve"> Monopoli negara memiliki legitimasi sejauh ia mendukung </w:t>
      </w:r>
      <w:r w:rsidRPr="0086616A">
        <w:rPr>
          <w:rFonts w:ascii="Palatino Linotype" w:hAnsi="Palatino Linotype"/>
          <w:sz w:val="26"/>
          <w:szCs w:val="26"/>
          <w:lang w:val="id"/>
        </w:rPr>
        <w:lastRenderedPageBreak/>
        <w:t xml:space="preserve">pemerataan, mencegah dominasi pasar oleh korporasi raksasa, dan menjamin akses masyarakat terhadap barang atau jasa vital. Namun, karakteristik monopoli ini tetap harus dibingkai dalam prinsip </w:t>
      </w:r>
      <w:r w:rsidRPr="0086616A">
        <w:rPr>
          <w:rFonts w:ascii="Palatino Linotype" w:hAnsi="Palatino Linotype"/>
          <w:i/>
          <w:iCs/>
          <w:sz w:val="26"/>
          <w:szCs w:val="26"/>
          <w:lang w:val="id"/>
        </w:rPr>
        <w:t>checks and balances</w:t>
      </w:r>
      <w:r w:rsidRPr="0086616A">
        <w:rPr>
          <w:rFonts w:ascii="Palatino Linotype" w:hAnsi="Palatino Linotype"/>
          <w:sz w:val="26"/>
          <w:szCs w:val="26"/>
          <w:lang w:val="id"/>
        </w:rPr>
        <w:t>, mengingat struktur baru BUMN melalui Danantara memungkinkan konsentrasi kekuasaan ekonomi pada satu entitas superholding yang memiliki kendali luas terhadap aset strategis negara.</w:t>
      </w:r>
      <w:r w:rsidRPr="0086616A">
        <w:rPr>
          <w:rStyle w:val="FootnoteReference"/>
          <w:rFonts w:ascii="Palatino Linotype" w:hAnsi="Palatino Linotype"/>
          <w:sz w:val="26"/>
          <w:szCs w:val="26"/>
          <w:lang w:val="id"/>
        </w:rPr>
        <w:footnoteReference w:id="16"/>
      </w:r>
      <w:r w:rsidRPr="0086616A">
        <w:rPr>
          <w:rFonts w:ascii="Palatino Linotype" w:hAnsi="Palatino Linotype"/>
          <w:sz w:val="26"/>
          <w:szCs w:val="26"/>
          <w:lang w:val="id"/>
        </w:rPr>
        <w:t xml:space="preserve"> Tanpa pengawasan memadai, monopoli negara berpotensi menimbulkan inefisiensi, moral hazard, atau penyalahgunaan kewenangan. Oleh karena itu, karakteristik hak monopoli dalam Pasal 86M harus dipahami bukan hanya sebagai perluasan kewenangan negara, tetapi juga sebagai mekanisme yang mengandung kewajiban akuntabilitas.</w:t>
      </w:r>
    </w:p>
    <w:p w14:paraId="25409314" w14:textId="49E55F75" w:rsidR="004A3168" w:rsidRPr="000F1F54" w:rsidRDefault="000F1F54" w:rsidP="000F1F54">
      <w:pPr>
        <w:pStyle w:val="ListParagraph"/>
        <w:spacing w:after="0" w:line="276" w:lineRule="auto"/>
        <w:ind w:left="0" w:firstLine="426"/>
        <w:jc w:val="both"/>
        <w:rPr>
          <w:rFonts w:ascii="Palatino Linotype" w:hAnsi="Palatino Linotype"/>
          <w:noProof/>
          <w:sz w:val="26"/>
          <w:szCs w:val="26"/>
          <w:lang w:val="id-ID"/>
        </w:rPr>
      </w:pPr>
      <w:r w:rsidRPr="0086616A">
        <w:rPr>
          <w:rFonts w:ascii="Palatino Linotype" w:hAnsi="Palatino Linotype"/>
          <w:sz w:val="26"/>
          <w:szCs w:val="26"/>
          <w:lang w:val="id"/>
        </w:rPr>
        <w:t>Pasal 86M merupakan norma strategis yang memberi ruang bagi negara untuk memperkuat kedaulatan ekonomi, namun tetap menuntut penjabaran yang hati-hati agar pemberian monopoli tidak menyesatkan tujuan konstitusional. Hak monopoli bagi BUMN hanya akan efektif jika diberikan berdasarkan parameter yang objektif dan disertai tata kelola yang transparan. Pada titik ini, karakteristik normatif Pasal 86M harus selalu dikaitkan dengan prinsip dasar bahwa monopoli negara bukanlah tujuan, melainkan instrumen untuk mencapai kesejahteraan umum serta menjaga stabilitas ekonomi nasional secara berkelanjutan</w:t>
      </w:r>
      <w:r w:rsidR="004A3168" w:rsidRPr="000E2083">
        <w:rPr>
          <w:rFonts w:ascii="Palatino Linotype" w:hAnsi="Palatino Linotype"/>
          <w:noProof/>
          <w:sz w:val="26"/>
          <w:szCs w:val="26"/>
          <w:lang w:val="id-ID"/>
        </w:rPr>
        <w:t xml:space="preserve"> </w:t>
      </w:r>
    </w:p>
    <w:p w14:paraId="0F837291" w14:textId="77777777" w:rsidR="00630E79" w:rsidRPr="000F1F54" w:rsidRDefault="00630E79" w:rsidP="009B0D70">
      <w:pPr>
        <w:pBdr>
          <w:top w:val="nil"/>
          <w:left w:val="nil"/>
          <w:bottom w:val="nil"/>
          <w:right w:val="nil"/>
          <w:between w:val="nil"/>
        </w:pBdr>
        <w:spacing w:after="0" w:line="276" w:lineRule="auto"/>
        <w:ind w:left="360"/>
        <w:jc w:val="both"/>
        <w:rPr>
          <w:rFonts w:ascii="Palatino Linotype" w:eastAsia="Palatino Linotype" w:hAnsi="Palatino Linotype" w:cs="Palatino Linotype"/>
          <w:b/>
          <w:sz w:val="26"/>
          <w:szCs w:val="26"/>
          <w:lang w:val="id-ID"/>
        </w:rPr>
      </w:pPr>
    </w:p>
    <w:p w14:paraId="2E137352" w14:textId="5FB96F9A" w:rsidR="000F1F54" w:rsidRPr="000F1F54" w:rsidRDefault="000F1F54" w:rsidP="000F1F54">
      <w:pPr>
        <w:pStyle w:val="JEM23SUBHEADING"/>
        <w:numPr>
          <w:ilvl w:val="0"/>
          <w:numId w:val="13"/>
        </w:numPr>
        <w:spacing w:line="276" w:lineRule="auto"/>
        <w:ind w:left="426" w:hanging="426"/>
        <w:rPr>
          <w:rFonts w:ascii="Century Schoolbook" w:hAnsi="Century Schoolbook"/>
          <w:color w:val="C00000"/>
          <w:sz w:val="26"/>
          <w:szCs w:val="26"/>
          <w:lang w:val="id-ID"/>
        </w:rPr>
      </w:pPr>
      <w:r w:rsidRPr="000F1F54">
        <w:rPr>
          <w:rFonts w:ascii="Century Schoolbook" w:hAnsi="Century Schoolbook"/>
          <w:color w:val="17365D" w:themeColor="text2" w:themeShade="BF"/>
          <w:sz w:val="26"/>
          <w:szCs w:val="26"/>
          <w:lang w:val="id-ID"/>
        </w:rPr>
        <w:t>Harmonisasi Pengaturan Monopoli Negara dengan Prinsip Persaingan Usaha Sehat</w:t>
      </w:r>
    </w:p>
    <w:p w14:paraId="3B3BED8E" w14:textId="77777777" w:rsidR="000F1F54" w:rsidRPr="0086616A" w:rsidRDefault="000F1F54" w:rsidP="000F1F54">
      <w:pPr>
        <w:spacing w:line="276" w:lineRule="auto"/>
        <w:ind w:firstLine="426"/>
        <w:jc w:val="both"/>
        <w:rPr>
          <w:rFonts w:ascii="Palatino Linotype" w:hAnsi="Palatino Linotype" w:cs="Calibri"/>
          <w:sz w:val="26"/>
          <w:szCs w:val="26"/>
          <w:lang w:val="id-ID"/>
        </w:rPr>
      </w:pPr>
      <w:r w:rsidRPr="0086616A">
        <w:rPr>
          <w:rFonts w:ascii="Palatino Linotype" w:hAnsi="Palatino Linotype" w:cs="Calibri"/>
          <w:sz w:val="26"/>
          <w:szCs w:val="26"/>
          <w:lang w:val="id-ID"/>
        </w:rPr>
        <w:t xml:space="preserve">Harmonisasi antara pengaturan monopoli negara sebagaimana diatur dalam Pasal 86M UU BUMN dengan prinsip persaingan usaha sehat dalam rezim hukum nasional merupakan isu fundamental dalam menjaga keseimbangan antara peran negara dan mekanisme pasar. Secara konseptual, Indonesia menganut sistem </w:t>
      </w:r>
      <w:r w:rsidRPr="0086616A">
        <w:rPr>
          <w:rFonts w:ascii="Palatino Linotype" w:hAnsi="Palatino Linotype" w:cs="Calibri"/>
          <w:sz w:val="26"/>
          <w:szCs w:val="26"/>
          <w:lang w:val="id-ID"/>
        </w:rPr>
        <w:lastRenderedPageBreak/>
        <w:t>ekonomi berdasar demokrasi ekonomi yang menempatkan negara sebagai penyelenggara cabang produksi penting dan pengelola sumber daya strategis demi kemakmuran rakyat.</w:t>
      </w:r>
      <w:r w:rsidRPr="0086616A">
        <w:rPr>
          <w:rStyle w:val="FootnoteReference"/>
          <w:rFonts w:ascii="Palatino Linotype" w:hAnsi="Palatino Linotype" w:cs="Calibri"/>
          <w:sz w:val="26"/>
          <w:szCs w:val="26"/>
          <w:lang w:val="id-ID"/>
        </w:rPr>
        <w:footnoteReference w:id="17"/>
      </w:r>
      <w:r w:rsidRPr="0086616A">
        <w:rPr>
          <w:rFonts w:ascii="Palatino Linotype" w:hAnsi="Palatino Linotype" w:cs="Calibri"/>
          <w:sz w:val="26"/>
          <w:szCs w:val="26"/>
          <w:lang w:val="id-ID"/>
        </w:rPr>
        <w:t xml:space="preserve"> Namun, bersamaan dengan itu, hukum positif Indonesia melalui UU Anti Monopoli menekankan larangan praktik monopoli yang menyebabkan distorsi pasar dan merugikan pelaku usaha lain. Relasi antara kedua rezim hukum ini menimbulkan pertanyaan mendasar: sejauh mana monopoli negara dapat dibenarkan tanpa mengganggu dinamika persaingan usaha yang sehat, dan bagaimana regulasi dapat memastikan bahwa monopoli yang diberikan benar-benar untuk kepentingan umum, bukan sebagai bentuk dominasi pasar yang tidak terkontrol?</w:t>
      </w:r>
    </w:p>
    <w:p w14:paraId="05152620" w14:textId="77777777" w:rsidR="000F1F54" w:rsidRPr="0086616A" w:rsidRDefault="000F1F54" w:rsidP="000F1F54">
      <w:pPr>
        <w:spacing w:line="276" w:lineRule="auto"/>
        <w:ind w:firstLine="426"/>
        <w:jc w:val="both"/>
        <w:rPr>
          <w:rFonts w:ascii="Palatino Linotype" w:hAnsi="Palatino Linotype" w:cs="Calibri"/>
          <w:sz w:val="26"/>
          <w:szCs w:val="26"/>
          <w:lang w:val="id-ID"/>
        </w:rPr>
      </w:pPr>
      <w:r w:rsidRPr="0086616A">
        <w:rPr>
          <w:rFonts w:ascii="Palatino Linotype" w:hAnsi="Palatino Linotype" w:cs="Calibri"/>
          <w:sz w:val="26"/>
          <w:szCs w:val="26"/>
          <w:lang w:val="id-ID"/>
        </w:rPr>
        <w:t xml:space="preserve">Secara normatif, Pasal 86M mengandung mandat luas kepada Presiden untuk menentukan sektor mana yang layak diberikan hak monopoli kepada BUMN atau Anak Usaha BUMN. Namun, mandat tersebut tidak diikuti dengan parameter yang rigid mengenai batasan monopoli, kriteria sektor strategis, atau mekanisme evaluasi dampaknya terhadap pasar. Kekosongan norma ini menciptakan kebutuhan mendesak akan harmonisasi dengan UU Anti Monopoli, terutama terkait prinsip level playing field, kepastikan hukum, dan keterbukaan pasar. UU Anti Monopoli memberikan pengecualian bagi monopoli negara sepanjang diatur dengan undang-undang dan dilandasi kepentingan publik, tetapi pengecualian tersebut harus dibaca secara ketat agar tidak menjadi celah bagi justifikasi monopoli yang berpotensi merugikan pelaku usaha lain maupun konsumen. Tanpa harmonisasi yang jelas, pemberian monopoli negara berpotensi menimbulkan ketidakpastian hukum, terutama bagi pelaku usaha swasta yang </w:t>
      </w:r>
      <w:r w:rsidRPr="0086616A">
        <w:rPr>
          <w:rFonts w:ascii="Palatino Linotype" w:hAnsi="Palatino Linotype" w:cs="Calibri"/>
          <w:sz w:val="26"/>
          <w:szCs w:val="26"/>
          <w:lang w:val="id-ID"/>
        </w:rPr>
        <w:lastRenderedPageBreak/>
        <w:t>membutuhkan jaminan kepastian regulasi untuk menanamkan modal dan bersaing di pasar domestik.</w:t>
      </w:r>
      <w:r w:rsidRPr="0086616A">
        <w:rPr>
          <w:rStyle w:val="FootnoteReference"/>
          <w:rFonts w:ascii="Palatino Linotype" w:hAnsi="Palatino Linotype" w:cs="Calibri"/>
          <w:sz w:val="26"/>
          <w:szCs w:val="26"/>
          <w:lang w:val="id-ID"/>
        </w:rPr>
        <w:footnoteReference w:id="18"/>
      </w:r>
    </w:p>
    <w:p w14:paraId="17643C52" w14:textId="77777777" w:rsidR="000F1F54" w:rsidRPr="0086616A" w:rsidRDefault="000F1F54" w:rsidP="000F1F54">
      <w:pPr>
        <w:spacing w:line="276" w:lineRule="auto"/>
        <w:ind w:firstLine="426"/>
        <w:jc w:val="both"/>
        <w:rPr>
          <w:rFonts w:ascii="Palatino Linotype" w:hAnsi="Palatino Linotype" w:cs="Calibri"/>
          <w:sz w:val="26"/>
          <w:szCs w:val="26"/>
          <w:lang w:val="id-ID"/>
        </w:rPr>
      </w:pPr>
      <w:r w:rsidRPr="0086616A">
        <w:rPr>
          <w:rFonts w:ascii="Palatino Linotype" w:hAnsi="Palatino Linotype" w:cs="Calibri"/>
          <w:sz w:val="26"/>
          <w:szCs w:val="26"/>
          <w:lang w:val="id-ID"/>
        </w:rPr>
        <w:t>Lebih jauh, kebutuhan harmonisasi juga muncul dari perubahan struktur kelembagaan BUMN melalui pembentukan Danantara sebagai superholding yang memiliki kewenangan besar terhadap investasi dan operasional BUMN. Kewenangan ganda antara negara sebagai regulator melalui BP BUMN dan Danantara sebagai operator sekaligus pemegang kuasa ekonomi menghadirkan potensi konflik kepentingan dalam konteks persaingan usaha. Ketika BUMN atau Anak Usahanya diberi monopoli oleh Presiden, sementara mereka berada dalam struktur yang sangat terpusat di bawah Danantara, terdapat risiko terjadinya dominasi pasar yang tidak seimbang. Dalam kondisi demikian, harmonisasi regulasi diperlukan tidak hanya pada level substansi hukum, tetapi juga dalam tata kelola kelembagaan agar pemberian monopoli negara tetap dalam koridor akuntabilitas dan pengawasan komprehensif. Tanpa mekanisme kontrol yang memadai, monopoli negara berpotensi berubah menjadi state-backed market power yang tidak terkendali.</w:t>
      </w:r>
    </w:p>
    <w:p w14:paraId="7B6ACD15" w14:textId="77777777" w:rsidR="000F1F54" w:rsidRPr="0086616A" w:rsidRDefault="000F1F54" w:rsidP="000F1F54">
      <w:pPr>
        <w:spacing w:line="276" w:lineRule="auto"/>
        <w:ind w:firstLine="426"/>
        <w:jc w:val="both"/>
        <w:rPr>
          <w:rFonts w:ascii="Palatino Linotype" w:hAnsi="Palatino Linotype" w:cs="Calibri"/>
          <w:sz w:val="26"/>
          <w:szCs w:val="26"/>
          <w:lang w:val="id-ID"/>
        </w:rPr>
      </w:pPr>
      <w:r w:rsidRPr="0086616A">
        <w:rPr>
          <w:rFonts w:ascii="Palatino Linotype" w:hAnsi="Palatino Linotype" w:cs="Calibri"/>
          <w:sz w:val="26"/>
          <w:szCs w:val="26"/>
          <w:lang w:val="id-ID"/>
        </w:rPr>
        <w:t xml:space="preserve">Hubungan antara monopoli negara dan prinsip persaingan usaha sehat juga perlu dipahami melalui konteks tujuan pembangunan nasional. Negara memang berkewajiban melindungi sektor-sektor strategis untuk memastikan kemanfaatan ekonomi dan stabilitas sosial, tetapi keberadaan monopoli tidak boleh menghalangi inovasi, efisiensi, dan kompetisi yang sehat. Dalam ekonomi modern, persaingan merupakan instrumen penting untuk meningkatkan kualitas layanan, menekan biaya produksi, dan mempercepat inovasi industri. Oleh karena itu, harmonisasi kedua rezim hukum tersebut harus dilakukan dengan </w:t>
      </w:r>
      <w:r w:rsidRPr="0086616A">
        <w:rPr>
          <w:rFonts w:ascii="Palatino Linotype" w:hAnsi="Palatino Linotype" w:cs="Calibri"/>
          <w:sz w:val="26"/>
          <w:szCs w:val="26"/>
          <w:lang w:val="id-ID"/>
        </w:rPr>
        <w:lastRenderedPageBreak/>
        <w:t>pendekatan yang seimbang: monopoli negara harus tetap dimungkinkan, tetapi dengan batasan jelas agar tidak menghalangi fungsi positif persaingan usaha. Instrumen pengawasan oleh KPPU menjadi sangat relevan untuk menilai apakah monopoli negara masih dalam batas kepentingan publik atau telah menyimpang menjadi bentuk market abuse.</w:t>
      </w:r>
    </w:p>
    <w:p w14:paraId="4B4AA0C7" w14:textId="77777777" w:rsidR="000F1F54" w:rsidRPr="0086616A" w:rsidRDefault="000F1F54" w:rsidP="000F1F54">
      <w:pPr>
        <w:spacing w:line="276" w:lineRule="auto"/>
        <w:ind w:firstLine="426"/>
        <w:jc w:val="both"/>
        <w:rPr>
          <w:rFonts w:ascii="Palatino Linotype" w:hAnsi="Palatino Linotype" w:cs="Calibri"/>
          <w:sz w:val="26"/>
          <w:szCs w:val="26"/>
          <w:lang w:val="id-ID"/>
        </w:rPr>
      </w:pPr>
      <w:r w:rsidRPr="0086616A">
        <w:rPr>
          <w:rFonts w:ascii="Palatino Linotype" w:hAnsi="Palatino Linotype" w:cs="Calibri"/>
          <w:sz w:val="26"/>
          <w:szCs w:val="26"/>
          <w:lang w:val="id-ID"/>
        </w:rPr>
        <w:t>Harmonisasi regulasi juga menuntut peraturan pelaksana Pasal 86M untuk menetapkan definisi operasional mengenai “hajat hidup orang banyak”, “cabang produksi penting”, serta “kepentingan negara”.</w:t>
      </w:r>
      <w:r w:rsidRPr="0086616A">
        <w:rPr>
          <w:rStyle w:val="FootnoteReference"/>
          <w:rFonts w:ascii="Palatino Linotype" w:hAnsi="Palatino Linotype" w:cs="Calibri"/>
          <w:sz w:val="26"/>
          <w:szCs w:val="26"/>
          <w:lang w:val="id-ID"/>
        </w:rPr>
        <w:footnoteReference w:id="19"/>
      </w:r>
      <w:r w:rsidRPr="0086616A">
        <w:rPr>
          <w:rFonts w:ascii="Palatino Linotype" w:hAnsi="Palatino Linotype" w:cs="Calibri"/>
          <w:sz w:val="26"/>
          <w:szCs w:val="26"/>
          <w:lang w:val="id-ID"/>
        </w:rPr>
        <w:t xml:space="preserve"> Tanpa kejelasan konsep tersebut, penetapan monopoli dapat bersifat subjektif dan membuka ruang untuk pertimbangan politik jangka pendek. Selain itu, mekanisme evaluasi periodik perlu diatur untuk memastikan monopoli tidak berlaku permanen dan dievaluasi berdasarkan indikator kinerja, efisiensi, serta dampaknya terhadap pasar. Keberadaan parameter yang objektif akan menciptakan prediktabilitas hukum bagi pelaku usaha dan memberikan kejelasan bagi investor asing yang menilai stabilitas regulasi sebagai salah satu faktor utama dalam pengambilan keputusan investasi. Dengan demikian, harmonisasi tidak hanya diperlukan dari perspektif hukum, tetapi juga untuk menjaga daya tarik ekonomi Indonesia di tingkat global.</w:t>
      </w:r>
    </w:p>
    <w:p w14:paraId="02940F2C" w14:textId="77777777" w:rsidR="000F1F54" w:rsidRDefault="000F1F54" w:rsidP="000F1F54">
      <w:pPr>
        <w:spacing w:line="276" w:lineRule="auto"/>
        <w:ind w:firstLine="425"/>
        <w:jc w:val="both"/>
        <w:rPr>
          <w:rFonts w:ascii="Palatino Linotype" w:hAnsi="Palatino Linotype" w:cs="Calibri"/>
          <w:sz w:val="26"/>
          <w:szCs w:val="26"/>
          <w:lang w:val="id-ID"/>
        </w:rPr>
      </w:pPr>
      <w:r w:rsidRPr="0086616A">
        <w:rPr>
          <w:rFonts w:ascii="Palatino Linotype" w:hAnsi="Palatino Linotype" w:cs="Calibri"/>
          <w:sz w:val="26"/>
          <w:szCs w:val="26"/>
          <w:lang w:val="id-ID"/>
        </w:rPr>
        <w:t xml:space="preserve">Dengan keseluruhan pertimbangan tersebut, harmonisasi antara hak monopoli negara dan prinsip persaingan usaha sehat pada akhirnya bukan sekadar penyelarasan teknis antara dua rezim regulasi, melainkan bagian dari strategi konstitusional untuk menjaga keseimbangan antara peran negara dalam sektor strategis dan kebutuhan akan pasar yang kompetitif. Pengaturan monopoli negara harus tetap ditempatkan dalam kerangka Pasal 33 UUD 1945 yang menekankan kemakmuran rakyat, tetapi pelaksanaannya tidak boleh </w:t>
      </w:r>
      <w:r w:rsidRPr="0086616A">
        <w:rPr>
          <w:rFonts w:ascii="Palatino Linotype" w:hAnsi="Palatino Linotype" w:cs="Calibri"/>
          <w:sz w:val="26"/>
          <w:szCs w:val="26"/>
          <w:lang w:val="id-ID"/>
        </w:rPr>
        <w:lastRenderedPageBreak/>
        <w:t>mengabaikan prinsip fair competition sebagai pilar ekonomi modern. Tanpa harmonisasi yang matang, pemberian monopoli negara berpotensi menciptakan ketidakpastian hukum, menghambat investasi, dan menurunkan tingkat efisiensi ekonomi nasional. Karena itu, integrasi kebijakan monopoli negara dengan prinsip persaingan usaha sehat merupakan prasyarat fundamental untuk memastikan bahwa monopoli negara benar-benar menjadi instrumen keadilan ekonomi, bukan sumber distorsi pasar</w:t>
      </w:r>
      <w:r>
        <w:rPr>
          <w:rFonts w:ascii="Palatino Linotype" w:hAnsi="Palatino Linotype" w:cs="Calibri"/>
          <w:sz w:val="26"/>
          <w:szCs w:val="26"/>
          <w:lang w:val="id-ID"/>
        </w:rPr>
        <w:t>.</w:t>
      </w:r>
    </w:p>
    <w:p w14:paraId="56A38EE0" w14:textId="77777777" w:rsidR="000F1F54" w:rsidRDefault="000F1F54" w:rsidP="000F1F54">
      <w:pPr>
        <w:spacing w:line="276" w:lineRule="auto"/>
        <w:ind w:firstLine="425"/>
        <w:jc w:val="both"/>
        <w:rPr>
          <w:rFonts w:ascii="Palatino Linotype" w:hAnsi="Palatino Linotype" w:cs="Calibri"/>
          <w:sz w:val="26"/>
          <w:szCs w:val="26"/>
          <w:lang w:val="id-ID"/>
        </w:rPr>
      </w:pPr>
    </w:p>
    <w:p w14:paraId="5BACFE82" w14:textId="4081271E" w:rsidR="000F1F54" w:rsidRPr="000F1F54" w:rsidRDefault="000F1F54" w:rsidP="000F1F54">
      <w:pPr>
        <w:pStyle w:val="JEM23SUBHEADING"/>
        <w:numPr>
          <w:ilvl w:val="0"/>
          <w:numId w:val="13"/>
        </w:numPr>
        <w:spacing w:line="276" w:lineRule="auto"/>
        <w:ind w:left="426" w:hanging="426"/>
        <w:rPr>
          <w:rFonts w:ascii="Century Schoolbook" w:hAnsi="Century Schoolbook"/>
          <w:color w:val="C00000"/>
          <w:sz w:val="26"/>
          <w:szCs w:val="26"/>
          <w:lang w:val="id-ID"/>
        </w:rPr>
      </w:pPr>
      <w:r w:rsidRPr="000F1F54">
        <w:rPr>
          <w:rFonts w:ascii="Century Schoolbook" w:hAnsi="Century Schoolbook"/>
          <w:color w:val="17365D" w:themeColor="text2" w:themeShade="BF"/>
          <w:sz w:val="26"/>
          <w:szCs w:val="26"/>
          <w:lang w:val="id-ID"/>
        </w:rPr>
        <w:t>Implikasi Yuridis dan Ekonomi terhadap Persaingan Usaha di Indonesia</w:t>
      </w:r>
    </w:p>
    <w:p w14:paraId="7FEB1A01" w14:textId="77777777" w:rsidR="000F1F54" w:rsidRPr="0086616A" w:rsidRDefault="000F1F54" w:rsidP="000F1F54">
      <w:pPr>
        <w:spacing w:line="276" w:lineRule="auto"/>
        <w:ind w:firstLine="426"/>
        <w:jc w:val="both"/>
        <w:rPr>
          <w:rFonts w:ascii="Palatino Linotype" w:hAnsi="Palatino Linotype" w:cs="Calibri"/>
          <w:sz w:val="26"/>
          <w:szCs w:val="26"/>
          <w:lang w:val="id-ID"/>
        </w:rPr>
      </w:pPr>
      <w:r w:rsidRPr="0086616A">
        <w:rPr>
          <w:rFonts w:ascii="Palatino Linotype" w:hAnsi="Palatino Linotype" w:cs="Calibri"/>
          <w:sz w:val="26"/>
          <w:szCs w:val="26"/>
          <w:lang w:val="id-ID"/>
        </w:rPr>
        <w:t>Pemberian hak monopoli kepada BUMN atau Anak Usaha BUMN sebagaimana diatur dalam Pasal 86M UU BUMN membawa implikasi yuridis dan ekonomi yang signifikan terhadap struktur pasar dan dinamika persaingan usaha di Indonesia. Dari perspektif yuridis, monopoli negara menghadirkan potensi ketegangan dengan kerangka hukum persaingan usaha yang telah dibangun sejak lahirnya UU Anti Monopoli, yang pada dasarnya mengatur larangan terhadap praktik monopoli dan dominasi pasar yang merugikan persaingan.</w:t>
      </w:r>
      <w:r w:rsidRPr="0086616A">
        <w:rPr>
          <w:rStyle w:val="FootnoteReference"/>
          <w:rFonts w:ascii="Palatino Linotype" w:hAnsi="Palatino Linotype" w:cs="Calibri"/>
          <w:sz w:val="26"/>
          <w:szCs w:val="26"/>
          <w:lang w:val="id-ID"/>
        </w:rPr>
        <w:footnoteReference w:id="20"/>
      </w:r>
      <w:r w:rsidRPr="0086616A">
        <w:rPr>
          <w:rFonts w:ascii="Palatino Linotype" w:hAnsi="Palatino Linotype" w:cs="Calibri"/>
          <w:sz w:val="26"/>
          <w:szCs w:val="26"/>
          <w:lang w:val="id-ID"/>
        </w:rPr>
        <w:t xml:space="preserve"> Walaupun hukum persaingan usaha memberikan pengecualian terbatas bagi monopoli negara, pengecualian tersebut tidak bersifat otomatis; ia tetap harus memenuhi prinsip akuntabilitas, proporsionalitas, dan kepentingan publik. Dalam konteks itu, pemberian kewenangan monopoli melalui keputusan Presiden memerlukan analisis mendalam agar tidak bertentangan dengan asas </w:t>
      </w:r>
      <w:r w:rsidRPr="0086616A">
        <w:rPr>
          <w:rFonts w:ascii="Palatino Linotype" w:hAnsi="Palatino Linotype" w:cs="Calibri"/>
          <w:i/>
          <w:iCs/>
          <w:sz w:val="26"/>
          <w:szCs w:val="26"/>
          <w:lang w:val="id-ID"/>
        </w:rPr>
        <w:t>fair competition</w:t>
      </w:r>
      <w:r w:rsidRPr="0086616A">
        <w:rPr>
          <w:rFonts w:ascii="Palatino Linotype" w:hAnsi="Palatino Linotype" w:cs="Calibri"/>
          <w:sz w:val="26"/>
          <w:szCs w:val="26"/>
          <w:lang w:val="id-ID"/>
        </w:rPr>
        <w:t xml:space="preserve"> yang dijaga oleh KPPU. Ketidakjelasan parameter monopolistik dalam Pasal 86M berisiko menimbulkan interpretasi luas yang dapat mereduksi efektivitas </w:t>
      </w:r>
      <w:r w:rsidRPr="0086616A">
        <w:rPr>
          <w:rFonts w:ascii="Palatino Linotype" w:hAnsi="Palatino Linotype" w:cs="Calibri"/>
          <w:sz w:val="26"/>
          <w:szCs w:val="26"/>
          <w:lang w:val="id-ID"/>
        </w:rPr>
        <w:lastRenderedPageBreak/>
        <w:t>pengawasan persaingan usaha, sekaligus membuka kemungkinan terjadinya penyalahgunaan kekuasaan pasar oleh entitas milik negara.</w:t>
      </w:r>
    </w:p>
    <w:p w14:paraId="7951974A" w14:textId="77777777" w:rsidR="000F1F54" w:rsidRPr="0086616A" w:rsidRDefault="000F1F54" w:rsidP="000F1F54">
      <w:pPr>
        <w:spacing w:line="276" w:lineRule="auto"/>
        <w:ind w:firstLine="426"/>
        <w:jc w:val="both"/>
        <w:rPr>
          <w:rFonts w:ascii="Palatino Linotype" w:hAnsi="Palatino Linotype" w:cs="Calibri"/>
          <w:sz w:val="26"/>
          <w:szCs w:val="26"/>
          <w:lang w:val="id-ID"/>
        </w:rPr>
      </w:pPr>
      <w:r w:rsidRPr="0086616A">
        <w:rPr>
          <w:rFonts w:ascii="Palatino Linotype" w:hAnsi="Palatino Linotype" w:cs="Calibri"/>
          <w:sz w:val="26"/>
          <w:szCs w:val="26"/>
          <w:lang w:val="id-ID"/>
        </w:rPr>
        <w:t xml:space="preserve">Implikasi yuridis lainnya terletak pada potensi terjadinya overlap kewenangan antara lembaga negara, terutama antara BP BUMN, Danantara sebagai superholding, dan KPPU sebagai otoritas pengawas persaingan usaha. Struktur baru pengelolaan BUMN yang memusatkan kewenangan investasi pada Danantara menciptakan kompleksitas tersendiri dalam pengawasan hukum. Ketika suatu sektor diberikan monopoli dan dioperasikan oleh entitas yang berada dalam konsentrasi kekuasaan yang besar, maka ruang lingkup kontrol eksternal menjadi terbatas. Dalam perspektif teori regulasi, kondisi konsentrasi kekuasaan ekonomi tanpa mekanisme kontrol yang kuat cenderung memunculkan risiko </w:t>
      </w:r>
      <w:r w:rsidRPr="0086616A">
        <w:rPr>
          <w:rFonts w:ascii="Palatino Linotype" w:hAnsi="Palatino Linotype" w:cs="Calibri"/>
          <w:i/>
          <w:iCs/>
          <w:sz w:val="26"/>
          <w:szCs w:val="26"/>
          <w:lang w:val="id-ID"/>
        </w:rPr>
        <w:t>regulatory capture</w:t>
      </w:r>
      <w:r w:rsidRPr="0086616A">
        <w:rPr>
          <w:rFonts w:ascii="Palatino Linotype" w:hAnsi="Palatino Linotype" w:cs="Calibri"/>
          <w:sz w:val="26"/>
          <w:szCs w:val="26"/>
          <w:lang w:val="id-ID"/>
        </w:rPr>
        <w:t>, dominasi pasar, diskriminasi terhadap pelaku usaha lain, serta hambatan masuk yang tinggi. Jika tidak dikelola dengan tepat, hak monopoli BUMN dapat melahirkan distorsi hukum, terutama pada aspek kesetaraan hak berusaha dan perlindungan pelaku usaha swasta. Hal ini berpotensi menimbulkan kontroversi konstitusional, mengingat Pasal 33 UUD 1945 bukan hanya mengamanatkan penguasaan negara atas cabang produksi penting, tetapi juga penyelenggaraan perekonomian nasional secara efisien dan berkeadilan.</w:t>
      </w:r>
    </w:p>
    <w:p w14:paraId="4A25E6B2" w14:textId="77777777" w:rsidR="000F1F54" w:rsidRPr="0086616A" w:rsidRDefault="000F1F54" w:rsidP="000F1F54">
      <w:pPr>
        <w:spacing w:line="276" w:lineRule="auto"/>
        <w:ind w:firstLine="426"/>
        <w:jc w:val="both"/>
        <w:rPr>
          <w:rFonts w:ascii="Palatino Linotype" w:hAnsi="Palatino Linotype" w:cs="Calibri"/>
          <w:sz w:val="26"/>
          <w:szCs w:val="26"/>
          <w:lang w:val="id-ID"/>
        </w:rPr>
      </w:pPr>
      <w:r w:rsidRPr="0086616A">
        <w:rPr>
          <w:rFonts w:ascii="Palatino Linotype" w:hAnsi="Palatino Linotype" w:cs="Calibri"/>
          <w:sz w:val="26"/>
          <w:szCs w:val="26"/>
          <w:lang w:val="id-ID"/>
        </w:rPr>
        <w:t xml:space="preserve">Dari perspektif ekonomi, kebijakan monopoli negara melalui BUMN memiliki dampak ganda. Pada satu sisi, ia dapat menjadi instrumen untuk menjaga stabilitas ekonomi, melindungi sektor strategis, serta mendorong pemerataan sumber daya jika tata kelolanya transparan dan berorientasi pada kepentingan publik. Monopoli negara dapat memastikan akses publik terhadap layanan dasar seperti energi, transportasi, dan infrastruktur tetap terjangkau, sekaligus melindungi sektor tersebut dari dominasi korporasi swasta yang mengejar profit </w:t>
      </w:r>
      <w:r w:rsidRPr="0086616A">
        <w:rPr>
          <w:rFonts w:ascii="Palatino Linotype" w:hAnsi="Palatino Linotype" w:cs="Calibri"/>
          <w:sz w:val="26"/>
          <w:szCs w:val="26"/>
          <w:lang w:val="id-ID"/>
        </w:rPr>
        <w:lastRenderedPageBreak/>
        <w:t>maksimal.</w:t>
      </w:r>
      <w:r w:rsidRPr="0086616A">
        <w:rPr>
          <w:rStyle w:val="FootnoteReference"/>
          <w:rFonts w:ascii="Palatino Linotype" w:hAnsi="Palatino Linotype" w:cs="Calibri"/>
          <w:sz w:val="26"/>
          <w:szCs w:val="26"/>
          <w:lang w:val="id-ID"/>
        </w:rPr>
        <w:footnoteReference w:id="21"/>
      </w:r>
      <w:r w:rsidRPr="0086616A">
        <w:rPr>
          <w:rFonts w:ascii="Palatino Linotype" w:hAnsi="Palatino Linotype" w:cs="Calibri"/>
          <w:sz w:val="26"/>
          <w:szCs w:val="26"/>
          <w:lang w:val="id-ID"/>
        </w:rPr>
        <w:t xml:space="preserve"> Namun, pada sisi lain, monopoli dapat menurunkan insentif inovasi, menghambat efisiensi operasional, dan menciptakan biaya ekonomi tinggi karena ketiadaan kompetisi. Teori ekonomi menunjukkan bahwa pasar monopoli cenderung menghasilkan layanan dengan kualitas rendah, harga tinggi, dan inovasi minimal karena tidak adanya tekanan kompetitif. Dalam konteks BUMN, risiko ini dapat semakin besar jika mekanisme pengawasan terhadap Danantara dan holding-holding di bawahnya tidak kuat dan tidak transparan.</w:t>
      </w:r>
    </w:p>
    <w:p w14:paraId="23F7DEA4" w14:textId="6543E3E4" w:rsidR="000F1F54" w:rsidRPr="000F1F54" w:rsidRDefault="000F1F54" w:rsidP="000F1F54">
      <w:pPr>
        <w:spacing w:line="276" w:lineRule="auto"/>
        <w:ind w:firstLine="426"/>
        <w:jc w:val="both"/>
        <w:rPr>
          <w:rFonts w:ascii="Palatino Linotype" w:hAnsi="Palatino Linotype" w:cs="Calibri"/>
          <w:sz w:val="26"/>
          <w:szCs w:val="26"/>
        </w:rPr>
      </w:pPr>
      <w:r w:rsidRPr="0086616A">
        <w:rPr>
          <w:rFonts w:ascii="Palatino Linotype" w:hAnsi="Palatino Linotype" w:cs="Calibri"/>
          <w:sz w:val="26"/>
          <w:szCs w:val="26"/>
          <w:lang w:val="id-ID"/>
        </w:rPr>
        <w:t>Implikasi ekonomi yang lebih luas berkaitan dengan iklim investasi. Investor, baik domestik maupun asing, membutuhkan kepastian hukum dan lingkungan persaingan usaha yang adil.</w:t>
      </w:r>
      <w:r w:rsidRPr="0086616A">
        <w:rPr>
          <w:rStyle w:val="FootnoteReference"/>
          <w:rFonts w:ascii="Palatino Linotype" w:hAnsi="Palatino Linotype" w:cs="Calibri"/>
          <w:sz w:val="26"/>
          <w:szCs w:val="26"/>
          <w:lang w:val="id-ID"/>
        </w:rPr>
        <w:footnoteReference w:id="22"/>
      </w:r>
      <w:r w:rsidRPr="0086616A">
        <w:rPr>
          <w:rFonts w:ascii="Palatino Linotype" w:hAnsi="Palatino Linotype" w:cs="Calibri"/>
          <w:sz w:val="26"/>
          <w:szCs w:val="26"/>
          <w:lang w:val="id-ID"/>
        </w:rPr>
        <w:t xml:space="preserve"> Kebijakan monopoli yang tidak disertai parameter jelas dapat menimbulkan ketidakpastian regulasi, yang pada gilirannya menurunkan minat investasi di sektor-sektor yang dianggap telah atau berpotensi didominasi BUMN. Hal ini bertentangan dengan visi pemerintah untuk mencapai pertumbuhan ekonomi tinggi dan menarik investasi dalam skala besar. Dalam situasi global yang kompetitif, negara-negara lain berlomba menyediakan lingkungan usaha yang terbuka dan </w:t>
      </w:r>
      <w:r w:rsidRPr="0086616A">
        <w:rPr>
          <w:rFonts w:ascii="Palatino Linotype" w:hAnsi="Palatino Linotype" w:cs="Calibri"/>
          <w:i/>
          <w:iCs/>
          <w:sz w:val="26"/>
          <w:szCs w:val="26"/>
          <w:lang w:val="id-ID"/>
        </w:rPr>
        <w:t>predictable</w:t>
      </w:r>
      <w:r w:rsidRPr="0086616A">
        <w:rPr>
          <w:rFonts w:ascii="Palatino Linotype" w:hAnsi="Palatino Linotype" w:cs="Calibri"/>
          <w:sz w:val="26"/>
          <w:szCs w:val="26"/>
          <w:lang w:val="id-ID"/>
        </w:rPr>
        <w:t>. Ketika Indonesia memberikan monopoli terlalu luas kepada BUMN, tanpa kerangka pengawasan persaingan yang kuat, maka persepsi risiko regulasi meningkat dan mengurangi daya tarik pasar Indonesia di mata investor internasional. Persaingan usaha yang tidak sehat merugikan kepentingan umum karena menyebabkan: kurangnya pelayanan, tingginya biaya operasional, potensi harga tinggi dll</w:t>
      </w:r>
      <w:r w:rsidRPr="0086616A">
        <w:rPr>
          <w:rFonts w:ascii="Palatino Linotype" w:hAnsi="Palatino Linotype" w:cs="Calibri"/>
          <w:sz w:val="26"/>
          <w:szCs w:val="26"/>
          <w:vertAlign w:val="superscript"/>
          <w:lang w:val="id-ID"/>
        </w:rPr>
        <w:footnoteReference w:id="23"/>
      </w:r>
      <w:r w:rsidRPr="0086616A">
        <w:rPr>
          <w:rFonts w:ascii="Palatino Linotype" w:hAnsi="Palatino Linotype" w:cs="Calibri"/>
          <w:sz w:val="26"/>
          <w:szCs w:val="26"/>
          <w:lang w:val="id-ID"/>
        </w:rPr>
        <w:t xml:space="preserve">. Oleh sebab itu, KPPU dan </w:t>
      </w:r>
      <w:r w:rsidRPr="0086616A">
        <w:rPr>
          <w:rFonts w:ascii="Palatino Linotype" w:hAnsi="Palatino Linotype" w:cs="Calibri"/>
          <w:sz w:val="26"/>
          <w:szCs w:val="26"/>
          <w:lang w:val="id-ID"/>
        </w:rPr>
        <w:lastRenderedPageBreak/>
        <w:t>masyarakat perlu mengawal pembentukan Peraturan Pemerintah dan peraturan pelaksana</w:t>
      </w:r>
      <w:r w:rsidRPr="0086616A">
        <w:rPr>
          <w:rFonts w:ascii="Palatino Linotype" w:hAnsi="Palatino Linotype" w:cs="Calibri"/>
          <w:sz w:val="26"/>
          <w:szCs w:val="26"/>
        </w:rPr>
        <w:t xml:space="preserve">an </w:t>
      </w:r>
      <w:r w:rsidRPr="0086616A">
        <w:rPr>
          <w:rFonts w:ascii="Palatino Linotype" w:hAnsi="Palatino Linotype" w:cs="Calibri"/>
          <w:sz w:val="26"/>
          <w:szCs w:val="26"/>
          <w:lang w:val="id-ID"/>
        </w:rPr>
        <w:t>atas Pasal 86M</w:t>
      </w:r>
      <w:r w:rsidRPr="0086616A">
        <w:rPr>
          <w:rFonts w:ascii="Palatino Linotype" w:hAnsi="Palatino Linotype" w:cs="Calibri"/>
          <w:sz w:val="26"/>
          <w:szCs w:val="26"/>
        </w:rPr>
        <w:t>.</w:t>
      </w:r>
    </w:p>
    <w:p w14:paraId="7724F119" w14:textId="77777777" w:rsidR="000F1F54" w:rsidRPr="0086616A" w:rsidRDefault="000F1F54" w:rsidP="000F1F54">
      <w:pPr>
        <w:spacing w:line="276" w:lineRule="auto"/>
        <w:ind w:firstLine="426"/>
        <w:jc w:val="both"/>
        <w:rPr>
          <w:rFonts w:ascii="Palatino Linotype" w:hAnsi="Palatino Linotype" w:cs="Calibri"/>
          <w:sz w:val="26"/>
          <w:szCs w:val="26"/>
          <w:lang w:val="id-ID"/>
        </w:rPr>
      </w:pPr>
      <w:r w:rsidRPr="0086616A">
        <w:rPr>
          <w:rFonts w:ascii="Palatino Linotype" w:hAnsi="Palatino Linotype" w:cs="Calibri"/>
          <w:sz w:val="26"/>
          <w:szCs w:val="26"/>
          <w:lang w:val="id-ID"/>
        </w:rPr>
        <w:t>Selain itu, struktur monopoli yang dimiliki BUMN dapat menghambat perkembangan UMKM dan pelaku usaha baru. Ketika BUMN memiliki hak eksklusif pada sektor tertentu, pelaku usaha lain akan kesulitan masuk, meskipun sebenarnya mereka memiliki kapasitas inovatif dan mampu memberikan efisiensi lebih baik. Terhambatnya partisipasi pelaku usaha lain akan mempengaruhi diversifikasi ekonomi nasional serta menciptakan ketergantungan terhadap entitas tunggal. Dalam jangka panjang, hal ini dapat memperlemah ketahanan ekonomi nasional karena risiko kegagalan satu entitas monopolis akan berdampak luas pada banyak sektor.</w:t>
      </w:r>
    </w:p>
    <w:p w14:paraId="5F423CC6" w14:textId="77777777" w:rsidR="000F1F54" w:rsidRPr="0086616A" w:rsidRDefault="000F1F54" w:rsidP="000F1F54">
      <w:pPr>
        <w:spacing w:line="276" w:lineRule="auto"/>
        <w:ind w:firstLine="426"/>
        <w:jc w:val="both"/>
        <w:rPr>
          <w:rFonts w:ascii="Palatino Linotype" w:hAnsi="Palatino Linotype" w:cs="Calibri"/>
          <w:sz w:val="26"/>
          <w:szCs w:val="26"/>
          <w:lang w:val="id-ID"/>
        </w:rPr>
      </w:pPr>
      <w:r w:rsidRPr="0086616A">
        <w:rPr>
          <w:rFonts w:ascii="Palatino Linotype" w:hAnsi="Palatino Linotype" w:cs="Calibri"/>
          <w:sz w:val="26"/>
          <w:szCs w:val="26"/>
          <w:lang w:val="id-ID"/>
        </w:rPr>
        <w:t>Implikasi terakhir yang perlu dicermati adalah dampak sosial-ekonomi terhadap konsumen. Dalam sistem monopoli, konsumen kehilangan manfaat kompetisi berupa harga yang lebih murah, inovasi produk, dan peningkatan kualitas layanan. Jika monopoli BUMN tidak didampingi oleh standar pelayanan minimum, audit kinerja, dan transparansi penggunaan keuntungan untuk pelayanan publik, maka keberadaan monopoli justru dapat merugikan masyarakat luas. Padahal, legitimasi monopoli negara pada dasarnya bergantung pada manfaat yang diterima masyarakat; jika monopoli tidak menghasilkan manfaat publik yang optimal, maka dasar normatif pemberian monopoli menjadi lemah.</w:t>
      </w:r>
    </w:p>
    <w:p w14:paraId="7153ACAF" w14:textId="11FB0036" w:rsidR="00D36D5A" w:rsidRPr="000F1F54" w:rsidRDefault="000F1F54" w:rsidP="000F1F54">
      <w:pPr>
        <w:spacing w:line="276" w:lineRule="auto"/>
        <w:ind w:firstLine="425"/>
        <w:jc w:val="both"/>
        <w:rPr>
          <w:rFonts w:ascii="Palatino Linotype" w:hAnsi="Palatino Linotype"/>
          <w:noProof/>
          <w:sz w:val="26"/>
          <w:szCs w:val="26"/>
          <w:lang w:val="id-ID"/>
        </w:rPr>
      </w:pPr>
      <w:r w:rsidRPr="0086616A">
        <w:rPr>
          <w:rFonts w:ascii="Palatino Linotype" w:hAnsi="Palatino Linotype" w:cs="Calibri"/>
          <w:sz w:val="26"/>
          <w:szCs w:val="26"/>
          <w:lang w:val="id-ID"/>
        </w:rPr>
        <w:t xml:space="preserve">Berdasarkan seluruh pertimbangan tersebut, implikasi yuridis dan ekonomi dari Pasal 86M UU BUMN sangat bergantung pada bagaimana pemerintah merancang dan menerapkan peraturan pelaksana yang memastikan keseimbangan antara kepentingan negara dan prinsip persaingan usaha sehat. Pemberian monopoli harus dilakukan melalui mekanisme yang transparan, berdasarkan indikator objektif, dan diawasi secara ketat oleh KPPU serta lembaga </w:t>
      </w:r>
      <w:r w:rsidRPr="0086616A">
        <w:rPr>
          <w:rFonts w:ascii="Palatino Linotype" w:hAnsi="Palatino Linotype" w:cs="Calibri"/>
          <w:sz w:val="26"/>
          <w:szCs w:val="26"/>
          <w:lang w:val="id-ID"/>
        </w:rPr>
        <w:lastRenderedPageBreak/>
        <w:t>pengawas lainnya. Dengan demikian, monopoli negara tidak menjadi sumber distorsi pasar, tetapi justru berfungsi sebagai instrumen strategis yang mendukung efisiensi, keadilan, dan kemakmuran rakyat sebagaimana diamanatkan oleh UUD 1945</w:t>
      </w:r>
      <w:r>
        <w:rPr>
          <w:rFonts w:ascii="Palatino Linotype" w:hAnsi="Palatino Linotype" w:cs="Calibri"/>
          <w:sz w:val="26"/>
          <w:szCs w:val="26"/>
          <w:lang w:val="id-ID"/>
        </w:rPr>
        <w:t>.</w:t>
      </w:r>
      <w:r w:rsidR="004A3168" w:rsidRPr="000E2083">
        <w:rPr>
          <w:rFonts w:ascii="Palatino Linotype" w:hAnsi="Palatino Linotype"/>
          <w:noProof/>
          <w:sz w:val="26"/>
          <w:szCs w:val="26"/>
          <w:lang w:val="id-ID"/>
        </w:rPr>
        <w:t xml:space="preserve"> </w:t>
      </w:r>
    </w:p>
    <w:p w14:paraId="6F314C44" w14:textId="77777777" w:rsidR="00E05F93" w:rsidRPr="000F1F54" w:rsidRDefault="00E05F93" w:rsidP="00581946">
      <w:pPr>
        <w:spacing w:after="0" w:line="276" w:lineRule="auto"/>
        <w:jc w:val="both"/>
        <w:rPr>
          <w:rFonts w:ascii="Palatino Linotype" w:eastAsia="Palatino Linotype" w:hAnsi="Palatino Linotype" w:cs="Palatino Linotype"/>
          <w:sz w:val="26"/>
          <w:szCs w:val="26"/>
          <w:lang w:val="id-ID"/>
        </w:rPr>
      </w:pPr>
    </w:p>
    <w:p w14:paraId="44BA3CA4" w14:textId="4FBD50EC" w:rsidR="00630E79" w:rsidRPr="00F867E1" w:rsidRDefault="00F867E1" w:rsidP="009B0D70">
      <w:pPr>
        <w:pStyle w:val="Heading1"/>
        <w:numPr>
          <w:ilvl w:val="0"/>
          <w:numId w:val="1"/>
        </w:numPr>
        <w:tabs>
          <w:tab w:val="left" w:pos="461"/>
        </w:tabs>
        <w:spacing w:line="276" w:lineRule="auto"/>
        <w:ind w:right="122"/>
        <w:rPr>
          <w:color w:val="17365D" w:themeColor="text2" w:themeShade="BF"/>
        </w:rPr>
      </w:pPr>
      <w:r w:rsidRPr="00F867E1">
        <w:rPr>
          <w:bCs w:val="0"/>
          <w:color w:val="17365D" w:themeColor="text2" w:themeShade="BF"/>
          <w:sz w:val="32"/>
          <w:szCs w:val="32"/>
        </w:rPr>
        <w:t>Kesimpulan</w:t>
      </w:r>
    </w:p>
    <w:p w14:paraId="02F60EAB" w14:textId="0B6D7B99" w:rsidR="00630E79" w:rsidRPr="000F1F54" w:rsidRDefault="000F1F54" w:rsidP="008D2A4C">
      <w:pPr>
        <w:pStyle w:val="JEM22aBODYARTIKEL"/>
        <w:spacing w:line="276" w:lineRule="auto"/>
        <w:ind w:firstLine="567"/>
        <w:rPr>
          <w:rFonts w:ascii="Palatino Linotype" w:hAnsi="Palatino Linotype" w:cs="Times New Roman"/>
          <w:sz w:val="26"/>
          <w:szCs w:val="26"/>
          <w:lang w:val="id-ID" w:eastAsia="en-ID"/>
        </w:rPr>
      </w:pPr>
      <w:r w:rsidRPr="0086616A">
        <w:rPr>
          <w:rFonts w:ascii="Palatino Linotype" w:hAnsi="Palatino Linotype"/>
          <w:bCs/>
          <w:sz w:val="26"/>
          <w:szCs w:val="26"/>
          <w:lang w:val="id-ID"/>
        </w:rPr>
        <w:t>Pemberian hak monopoli kepada BUMN atau Anak Usahanya sebagaimana diatur dalam Pasal 86M UU BUMN menghadirkan perubahan signifikan dalam lanskap hukum ekonomi Indonesia. Regulasi ini menegaskan penguatan peran negara dalam penguasaan cabang produksi yang penting sekaligus menata ulang struktur pengelolaan BUMN melalui Danantara sebagai superholding. Namun, secara yuridis, ketentuan tersebut memunculkan potensi ketegangan dengan rezim persaingan usaha yang selama dua dekade terakhir dibangun melalui UU Anti Monopoli dan pengawasan KPPU. Ketidakjelasan parameter monopoli, ruang diskresi Presiden yang luas, serta konsentrasi kekuasaan ekonomi pada entitas BUMN berpotensi menimbulkan ketidakpastian hukum dan risiko distorsi pasar. Secara ekonomi, meskipun monopoli dapat menjadi instrumen stabilisasi dan perlindungan sektor strategis, praktik monopoli tanpa pengawasan ketat cenderung menurunkan efisiensi, mengurangi inovasi, menghambat masuknya pelaku usaha baru, serta menurunkan daya tarik investasi. Oleh karena itu, posisi hukum Pasal 86M harus dibaca secara seimbang dengan prinsip persaingan usaha sehat, kepastian hukum, dan amanat Pasal 33 UUD 1945 agar monopoli negara tidak menjadi sumber inefisiensi, tetapi alat untuk mencapai kemakmuran rakyat</w:t>
      </w:r>
      <w:r w:rsidR="008A006B" w:rsidRPr="000F1F54">
        <w:rPr>
          <w:rFonts w:ascii="Palatino Linotype" w:hAnsi="Palatino Linotype" w:cs="Times New Roman"/>
          <w:sz w:val="26"/>
          <w:szCs w:val="26"/>
          <w:lang w:val="id-ID" w:eastAsia="en-ID"/>
        </w:rPr>
        <w:t>.</w:t>
      </w:r>
    </w:p>
    <w:p w14:paraId="349D591D" w14:textId="77777777" w:rsidR="00630E79" w:rsidRPr="000F1F54" w:rsidRDefault="00630E79" w:rsidP="009B0D70">
      <w:pPr>
        <w:pStyle w:val="BodyText"/>
        <w:spacing w:before="1" w:line="276" w:lineRule="auto"/>
        <w:jc w:val="both"/>
        <w:rPr>
          <w:lang w:val="id-ID"/>
        </w:rPr>
      </w:pPr>
    </w:p>
    <w:p w14:paraId="2BC82119" w14:textId="77777777" w:rsidR="00C108FF" w:rsidRPr="000F1F54" w:rsidRDefault="00C108FF" w:rsidP="009B0D70">
      <w:pPr>
        <w:pStyle w:val="BodyText"/>
        <w:spacing w:before="1" w:line="276" w:lineRule="auto"/>
        <w:jc w:val="both"/>
        <w:rPr>
          <w:lang w:val="id-ID"/>
        </w:rPr>
      </w:pPr>
    </w:p>
    <w:p w14:paraId="137080B6" w14:textId="1744B2CC" w:rsidR="00630E79" w:rsidRPr="00F867E1" w:rsidRDefault="00F867E1" w:rsidP="009B0D70">
      <w:pPr>
        <w:pStyle w:val="Heading1"/>
        <w:numPr>
          <w:ilvl w:val="0"/>
          <w:numId w:val="1"/>
        </w:numPr>
        <w:tabs>
          <w:tab w:val="left" w:pos="461"/>
        </w:tabs>
        <w:spacing w:line="276" w:lineRule="auto"/>
        <w:ind w:right="122"/>
        <w:rPr>
          <w:bCs w:val="0"/>
          <w:color w:val="17365D" w:themeColor="text2" w:themeShade="BF"/>
          <w:sz w:val="32"/>
          <w:szCs w:val="32"/>
        </w:rPr>
      </w:pPr>
      <w:proofErr w:type="spellStart"/>
      <w:r w:rsidRPr="00F867E1">
        <w:rPr>
          <w:bCs w:val="0"/>
          <w:color w:val="17365D" w:themeColor="text2" w:themeShade="BF"/>
          <w:sz w:val="32"/>
          <w:szCs w:val="32"/>
        </w:rPr>
        <w:t>Informasi</w:t>
      </w:r>
      <w:proofErr w:type="spellEnd"/>
      <w:r w:rsidRPr="00F867E1">
        <w:rPr>
          <w:bCs w:val="0"/>
          <w:color w:val="17365D" w:themeColor="text2" w:themeShade="BF"/>
          <w:sz w:val="32"/>
          <w:szCs w:val="32"/>
        </w:rPr>
        <w:t xml:space="preserve"> </w:t>
      </w:r>
      <w:proofErr w:type="spellStart"/>
      <w:r w:rsidRPr="00F867E1">
        <w:rPr>
          <w:bCs w:val="0"/>
          <w:color w:val="17365D" w:themeColor="text2" w:themeShade="BF"/>
          <w:sz w:val="32"/>
          <w:szCs w:val="32"/>
        </w:rPr>
        <w:t>Pendanaan</w:t>
      </w:r>
      <w:proofErr w:type="spellEnd"/>
    </w:p>
    <w:p w14:paraId="3E5BD24A" w14:textId="3C281A6C" w:rsidR="00E05F93" w:rsidRPr="0034266F" w:rsidRDefault="00F867E1" w:rsidP="0034266F">
      <w:pPr>
        <w:pStyle w:val="JEM22aBODYARTIKEL"/>
        <w:spacing w:line="276" w:lineRule="auto"/>
        <w:ind w:firstLine="720"/>
        <w:rPr>
          <w:rFonts w:ascii="Palatino Linotype" w:hAnsi="Palatino Linotype" w:cs="Times New Roman"/>
          <w:sz w:val="26"/>
          <w:szCs w:val="26"/>
          <w:lang w:eastAsia="en-ID"/>
        </w:rPr>
      </w:pPr>
      <w:r w:rsidRPr="00F867E1">
        <w:rPr>
          <w:rFonts w:ascii="Palatino Linotype" w:hAnsi="Palatino Linotype" w:cs="Times New Roman"/>
          <w:sz w:val="26"/>
          <w:szCs w:val="26"/>
          <w:lang w:eastAsia="en-ID"/>
        </w:rPr>
        <w:t xml:space="preserve">Tidak </w:t>
      </w:r>
      <w:proofErr w:type="spellStart"/>
      <w:r w:rsidRPr="00F867E1">
        <w:rPr>
          <w:rFonts w:ascii="Palatino Linotype" w:hAnsi="Palatino Linotype" w:cs="Times New Roman"/>
          <w:sz w:val="26"/>
          <w:szCs w:val="26"/>
          <w:lang w:eastAsia="en-ID"/>
        </w:rPr>
        <w:t>ada</w:t>
      </w:r>
      <w:proofErr w:type="spellEnd"/>
      <w:r>
        <w:rPr>
          <w:rFonts w:ascii="Palatino Linotype" w:hAnsi="Palatino Linotype" w:cs="Times New Roman"/>
          <w:sz w:val="26"/>
          <w:szCs w:val="26"/>
          <w:lang w:eastAsia="en-ID"/>
        </w:rPr>
        <w:t>.</w:t>
      </w:r>
    </w:p>
    <w:p w14:paraId="705FE892" w14:textId="77777777" w:rsidR="00E05F93" w:rsidRPr="003C0550" w:rsidRDefault="00E05F93" w:rsidP="009B0D70">
      <w:pPr>
        <w:pStyle w:val="BodyText"/>
        <w:spacing w:before="1" w:line="276" w:lineRule="auto"/>
        <w:ind w:left="360"/>
        <w:jc w:val="both"/>
      </w:pPr>
    </w:p>
    <w:p w14:paraId="4E2BFADD" w14:textId="5309D906" w:rsidR="00630E79" w:rsidRPr="00F867E1" w:rsidRDefault="00F867E1" w:rsidP="009B0D70">
      <w:pPr>
        <w:pStyle w:val="Heading1"/>
        <w:numPr>
          <w:ilvl w:val="0"/>
          <w:numId w:val="1"/>
        </w:numPr>
        <w:tabs>
          <w:tab w:val="left" w:pos="461"/>
        </w:tabs>
        <w:spacing w:line="276" w:lineRule="auto"/>
        <w:ind w:right="122"/>
        <w:rPr>
          <w:bCs w:val="0"/>
          <w:color w:val="17365D" w:themeColor="text2" w:themeShade="BF"/>
          <w:sz w:val="32"/>
          <w:szCs w:val="32"/>
        </w:rPr>
      </w:pPr>
      <w:proofErr w:type="spellStart"/>
      <w:r w:rsidRPr="00F867E1">
        <w:rPr>
          <w:bCs w:val="0"/>
          <w:color w:val="17365D" w:themeColor="text2" w:themeShade="BF"/>
          <w:sz w:val="32"/>
          <w:szCs w:val="32"/>
        </w:rPr>
        <w:t>Ucapan</w:t>
      </w:r>
      <w:proofErr w:type="spellEnd"/>
      <w:r w:rsidRPr="00F867E1">
        <w:rPr>
          <w:bCs w:val="0"/>
          <w:color w:val="17365D" w:themeColor="text2" w:themeShade="BF"/>
          <w:sz w:val="32"/>
          <w:szCs w:val="32"/>
        </w:rPr>
        <w:t xml:space="preserve"> </w:t>
      </w:r>
      <w:proofErr w:type="spellStart"/>
      <w:r w:rsidRPr="00F867E1">
        <w:rPr>
          <w:bCs w:val="0"/>
          <w:color w:val="17365D" w:themeColor="text2" w:themeShade="BF"/>
          <w:sz w:val="32"/>
          <w:szCs w:val="32"/>
        </w:rPr>
        <w:t>Terima</w:t>
      </w:r>
      <w:proofErr w:type="spellEnd"/>
      <w:r w:rsidRPr="00F867E1">
        <w:rPr>
          <w:bCs w:val="0"/>
          <w:color w:val="17365D" w:themeColor="text2" w:themeShade="BF"/>
          <w:sz w:val="32"/>
          <w:szCs w:val="32"/>
        </w:rPr>
        <w:t xml:space="preserve"> Kasih</w:t>
      </w:r>
    </w:p>
    <w:p w14:paraId="551B7401" w14:textId="0F84F14D" w:rsidR="00F658AE" w:rsidRPr="00F658AE" w:rsidRDefault="005E4B53" w:rsidP="009B0D70">
      <w:pPr>
        <w:pStyle w:val="JEM22aBODYARTIKEL"/>
        <w:spacing w:line="276" w:lineRule="auto"/>
        <w:ind w:firstLine="567"/>
        <w:rPr>
          <w:rFonts w:ascii="Palatino Linotype" w:hAnsi="Palatino Linotype" w:cs="Times New Roman"/>
          <w:sz w:val="26"/>
          <w:szCs w:val="26"/>
          <w:lang w:eastAsia="en-ID"/>
        </w:rPr>
      </w:pPr>
      <w:proofErr w:type="spellStart"/>
      <w:r w:rsidRPr="000F1F54">
        <w:rPr>
          <w:rFonts w:ascii="Palatino Linotype" w:hAnsi="Palatino Linotype" w:cs="Times New Roman"/>
          <w:sz w:val="26"/>
          <w:szCs w:val="26"/>
          <w:lang w:val="en-ID" w:eastAsia="en-ID"/>
        </w:rPr>
        <w:t>Peneliti</w:t>
      </w:r>
      <w:proofErr w:type="spellEnd"/>
      <w:r w:rsidRPr="000F1F54">
        <w:rPr>
          <w:rFonts w:ascii="Palatino Linotype" w:hAnsi="Palatino Linotype" w:cs="Times New Roman"/>
          <w:sz w:val="26"/>
          <w:szCs w:val="26"/>
          <w:lang w:val="en-ID" w:eastAsia="en-ID"/>
        </w:rPr>
        <w:t xml:space="preserve"> </w:t>
      </w:r>
      <w:proofErr w:type="spellStart"/>
      <w:r w:rsidRPr="000F1F54">
        <w:rPr>
          <w:rFonts w:ascii="Palatino Linotype" w:hAnsi="Palatino Linotype" w:cs="Times New Roman"/>
          <w:sz w:val="26"/>
          <w:szCs w:val="26"/>
          <w:lang w:val="en-ID" w:eastAsia="en-ID"/>
        </w:rPr>
        <w:t>mengucapkan</w:t>
      </w:r>
      <w:proofErr w:type="spellEnd"/>
      <w:r w:rsidRPr="000F1F54">
        <w:rPr>
          <w:rFonts w:ascii="Palatino Linotype" w:hAnsi="Palatino Linotype" w:cs="Times New Roman"/>
          <w:sz w:val="26"/>
          <w:szCs w:val="26"/>
          <w:lang w:val="en-ID" w:eastAsia="en-ID"/>
        </w:rPr>
        <w:t xml:space="preserve"> </w:t>
      </w:r>
      <w:proofErr w:type="spellStart"/>
      <w:r w:rsidRPr="000F1F54">
        <w:rPr>
          <w:rFonts w:ascii="Palatino Linotype" w:hAnsi="Palatino Linotype" w:cs="Times New Roman"/>
          <w:sz w:val="26"/>
          <w:szCs w:val="26"/>
          <w:lang w:val="en-ID" w:eastAsia="en-ID"/>
        </w:rPr>
        <w:t>terima</w:t>
      </w:r>
      <w:proofErr w:type="spellEnd"/>
      <w:r w:rsidRPr="000F1F54">
        <w:rPr>
          <w:rFonts w:ascii="Palatino Linotype" w:hAnsi="Palatino Linotype" w:cs="Times New Roman"/>
          <w:sz w:val="26"/>
          <w:szCs w:val="26"/>
          <w:lang w:val="en-ID" w:eastAsia="en-ID"/>
        </w:rPr>
        <w:t xml:space="preserve"> </w:t>
      </w:r>
      <w:proofErr w:type="spellStart"/>
      <w:r w:rsidRPr="000F1F54">
        <w:rPr>
          <w:rFonts w:ascii="Palatino Linotype" w:hAnsi="Palatino Linotype" w:cs="Times New Roman"/>
          <w:sz w:val="26"/>
          <w:szCs w:val="26"/>
          <w:lang w:val="en-ID" w:eastAsia="en-ID"/>
        </w:rPr>
        <w:t>kasih</w:t>
      </w:r>
      <w:proofErr w:type="spellEnd"/>
      <w:r w:rsidRPr="000F1F54">
        <w:rPr>
          <w:rFonts w:ascii="Palatino Linotype" w:hAnsi="Palatino Linotype" w:cs="Times New Roman"/>
          <w:sz w:val="26"/>
          <w:szCs w:val="26"/>
          <w:lang w:val="en-ID" w:eastAsia="en-ID"/>
        </w:rPr>
        <w:t xml:space="preserve"> </w:t>
      </w:r>
      <w:proofErr w:type="spellStart"/>
      <w:r w:rsidRPr="000F1F54">
        <w:rPr>
          <w:rFonts w:ascii="Palatino Linotype" w:hAnsi="Palatino Linotype" w:cs="Times New Roman"/>
          <w:sz w:val="26"/>
          <w:szCs w:val="26"/>
          <w:lang w:val="en-ID" w:eastAsia="en-ID"/>
        </w:rPr>
        <w:t>kepada</w:t>
      </w:r>
      <w:proofErr w:type="spellEnd"/>
      <w:r w:rsidRPr="000F1F54">
        <w:rPr>
          <w:rFonts w:ascii="Palatino Linotype" w:hAnsi="Palatino Linotype" w:cs="Times New Roman"/>
          <w:sz w:val="26"/>
          <w:szCs w:val="26"/>
          <w:lang w:val="en-ID" w:eastAsia="en-ID"/>
        </w:rPr>
        <w:t xml:space="preserve"> </w:t>
      </w:r>
      <w:r w:rsidR="000F1F54" w:rsidRPr="000F1F54">
        <w:rPr>
          <w:rFonts w:ascii="Palatino Linotype" w:hAnsi="Palatino Linotype" w:cs="Times New Roman"/>
          <w:sz w:val="26"/>
          <w:szCs w:val="26"/>
          <w:lang w:val="en-ID" w:eastAsia="en-ID"/>
        </w:rPr>
        <w:t>Prof. Ningrum Natasy</w:t>
      </w:r>
      <w:r w:rsidR="000F1F54">
        <w:rPr>
          <w:rFonts w:ascii="Palatino Linotype" w:hAnsi="Palatino Linotype" w:cs="Times New Roman"/>
          <w:sz w:val="26"/>
          <w:szCs w:val="26"/>
          <w:lang w:val="en-ID" w:eastAsia="en-ID"/>
        </w:rPr>
        <w:t xml:space="preserve">a </w:t>
      </w:r>
      <w:proofErr w:type="spellStart"/>
      <w:r w:rsidR="000F1F54">
        <w:rPr>
          <w:rFonts w:ascii="Palatino Linotype" w:hAnsi="Palatino Linotype" w:cs="Times New Roman"/>
          <w:sz w:val="26"/>
          <w:szCs w:val="26"/>
          <w:lang w:val="en-ID" w:eastAsia="en-ID"/>
        </w:rPr>
        <w:t>Sirait</w:t>
      </w:r>
      <w:proofErr w:type="spellEnd"/>
      <w:r w:rsidRPr="000F1F54">
        <w:rPr>
          <w:rFonts w:ascii="Palatino Linotype" w:hAnsi="Palatino Linotype" w:cs="Times New Roman"/>
          <w:sz w:val="26"/>
          <w:szCs w:val="26"/>
          <w:lang w:val="en-ID" w:eastAsia="en-ID"/>
        </w:rPr>
        <w:t xml:space="preserve"> </w:t>
      </w:r>
      <w:proofErr w:type="spellStart"/>
      <w:r w:rsidRPr="000F1F54">
        <w:rPr>
          <w:rFonts w:ascii="Palatino Linotype" w:hAnsi="Palatino Linotype" w:cs="Times New Roman"/>
          <w:sz w:val="26"/>
          <w:szCs w:val="26"/>
          <w:lang w:val="en-ID" w:eastAsia="en-ID"/>
        </w:rPr>
        <w:t>atas</w:t>
      </w:r>
      <w:proofErr w:type="spellEnd"/>
      <w:r w:rsidRPr="000F1F54">
        <w:rPr>
          <w:rFonts w:ascii="Palatino Linotype" w:hAnsi="Palatino Linotype" w:cs="Times New Roman"/>
          <w:sz w:val="26"/>
          <w:szCs w:val="26"/>
          <w:lang w:val="en-ID" w:eastAsia="en-ID"/>
        </w:rPr>
        <w:t xml:space="preserve"> </w:t>
      </w:r>
      <w:proofErr w:type="spellStart"/>
      <w:r w:rsidRPr="000F1F54">
        <w:rPr>
          <w:rFonts w:ascii="Palatino Linotype" w:hAnsi="Palatino Linotype" w:cs="Times New Roman"/>
          <w:sz w:val="26"/>
          <w:szCs w:val="26"/>
          <w:lang w:val="en-ID" w:eastAsia="en-ID"/>
        </w:rPr>
        <w:t>arahan</w:t>
      </w:r>
      <w:proofErr w:type="spellEnd"/>
      <w:r w:rsidRPr="000F1F54">
        <w:rPr>
          <w:rFonts w:ascii="Palatino Linotype" w:hAnsi="Palatino Linotype" w:cs="Times New Roman"/>
          <w:sz w:val="26"/>
          <w:szCs w:val="26"/>
          <w:lang w:val="en-ID" w:eastAsia="en-ID"/>
        </w:rPr>
        <w:t xml:space="preserve"> yang </w:t>
      </w:r>
      <w:proofErr w:type="spellStart"/>
      <w:r w:rsidRPr="000F1F54">
        <w:rPr>
          <w:rFonts w:ascii="Palatino Linotype" w:hAnsi="Palatino Linotype" w:cs="Times New Roman"/>
          <w:sz w:val="26"/>
          <w:szCs w:val="26"/>
          <w:lang w:val="en-ID" w:eastAsia="en-ID"/>
        </w:rPr>
        <w:t>diberikan</w:t>
      </w:r>
      <w:proofErr w:type="spellEnd"/>
      <w:r w:rsidRPr="000F1F54">
        <w:rPr>
          <w:rFonts w:ascii="Palatino Linotype" w:hAnsi="Palatino Linotype" w:cs="Times New Roman"/>
          <w:sz w:val="26"/>
          <w:szCs w:val="26"/>
          <w:lang w:val="en-ID" w:eastAsia="en-ID"/>
        </w:rPr>
        <w:t xml:space="preserve"> </w:t>
      </w:r>
      <w:proofErr w:type="spellStart"/>
      <w:r w:rsidRPr="000F1F54">
        <w:rPr>
          <w:rFonts w:ascii="Palatino Linotype" w:hAnsi="Palatino Linotype" w:cs="Times New Roman"/>
          <w:sz w:val="26"/>
          <w:szCs w:val="26"/>
          <w:lang w:val="en-ID" w:eastAsia="en-ID"/>
        </w:rPr>
        <w:t>dalam</w:t>
      </w:r>
      <w:proofErr w:type="spellEnd"/>
      <w:r w:rsidRPr="000F1F54">
        <w:rPr>
          <w:rFonts w:ascii="Palatino Linotype" w:hAnsi="Palatino Linotype" w:cs="Times New Roman"/>
          <w:sz w:val="26"/>
          <w:szCs w:val="26"/>
          <w:lang w:val="en-ID" w:eastAsia="en-ID"/>
        </w:rPr>
        <w:t xml:space="preserve"> </w:t>
      </w:r>
      <w:proofErr w:type="spellStart"/>
      <w:r w:rsidRPr="000F1F54">
        <w:rPr>
          <w:rFonts w:ascii="Palatino Linotype" w:hAnsi="Palatino Linotype" w:cs="Times New Roman"/>
          <w:sz w:val="26"/>
          <w:szCs w:val="26"/>
          <w:lang w:val="en-ID" w:eastAsia="en-ID"/>
        </w:rPr>
        <w:t>penulisan</w:t>
      </w:r>
      <w:proofErr w:type="spellEnd"/>
      <w:r w:rsidRPr="000F1F54">
        <w:rPr>
          <w:rFonts w:ascii="Palatino Linotype" w:hAnsi="Palatino Linotype" w:cs="Times New Roman"/>
          <w:sz w:val="26"/>
          <w:szCs w:val="26"/>
          <w:lang w:val="en-ID" w:eastAsia="en-ID"/>
        </w:rPr>
        <w:t xml:space="preserve"> </w:t>
      </w:r>
      <w:proofErr w:type="spellStart"/>
      <w:r w:rsidRPr="000F1F54">
        <w:rPr>
          <w:rFonts w:ascii="Palatino Linotype" w:hAnsi="Palatino Linotype" w:cs="Times New Roman"/>
          <w:sz w:val="26"/>
          <w:szCs w:val="26"/>
          <w:lang w:val="en-ID" w:eastAsia="en-ID"/>
        </w:rPr>
        <w:t>naskah</w:t>
      </w:r>
      <w:proofErr w:type="spellEnd"/>
      <w:r w:rsidRPr="000F1F54">
        <w:rPr>
          <w:rFonts w:ascii="Palatino Linotype" w:hAnsi="Palatino Linotype" w:cs="Times New Roman"/>
          <w:sz w:val="26"/>
          <w:szCs w:val="26"/>
          <w:lang w:val="en-ID" w:eastAsia="en-ID"/>
        </w:rPr>
        <w:t xml:space="preserve"> </w:t>
      </w:r>
      <w:proofErr w:type="spellStart"/>
      <w:r w:rsidRPr="000F1F54">
        <w:rPr>
          <w:rFonts w:ascii="Palatino Linotype" w:hAnsi="Palatino Linotype" w:cs="Times New Roman"/>
          <w:sz w:val="26"/>
          <w:szCs w:val="26"/>
          <w:lang w:val="en-ID" w:eastAsia="en-ID"/>
        </w:rPr>
        <w:t>jurnal</w:t>
      </w:r>
      <w:proofErr w:type="spellEnd"/>
      <w:r w:rsidRPr="000F1F54">
        <w:rPr>
          <w:rFonts w:ascii="Palatino Linotype" w:hAnsi="Palatino Linotype" w:cs="Times New Roman"/>
          <w:sz w:val="26"/>
          <w:szCs w:val="26"/>
          <w:lang w:val="en-ID" w:eastAsia="en-ID"/>
        </w:rPr>
        <w:t xml:space="preserve"> </w:t>
      </w:r>
      <w:proofErr w:type="spellStart"/>
      <w:r w:rsidRPr="000F1F54">
        <w:rPr>
          <w:rFonts w:ascii="Palatino Linotype" w:hAnsi="Palatino Linotype" w:cs="Times New Roman"/>
          <w:sz w:val="26"/>
          <w:szCs w:val="26"/>
          <w:lang w:val="en-ID" w:eastAsia="en-ID"/>
        </w:rPr>
        <w:t>ini</w:t>
      </w:r>
      <w:proofErr w:type="spellEnd"/>
      <w:r w:rsidRPr="000F1F54">
        <w:rPr>
          <w:rFonts w:ascii="Palatino Linotype" w:hAnsi="Palatino Linotype" w:cs="Times New Roman"/>
          <w:sz w:val="26"/>
          <w:szCs w:val="26"/>
          <w:lang w:val="en-ID" w:eastAsia="en-ID"/>
        </w:rPr>
        <w:t xml:space="preserve">. </w:t>
      </w:r>
      <w:proofErr w:type="spellStart"/>
      <w:r w:rsidRPr="005E4B53">
        <w:rPr>
          <w:rFonts w:ascii="Palatino Linotype" w:hAnsi="Palatino Linotype" w:cs="Times New Roman"/>
          <w:sz w:val="26"/>
          <w:szCs w:val="26"/>
          <w:lang w:eastAsia="en-ID"/>
        </w:rPr>
        <w:t>Semua</w:t>
      </w:r>
      <w:proofErr w:type="spellEnd"/>
      <w:r w:rsidRPr="005E4B53">
        <w:rPr>
          <w:rFonts w:ascii="Palatino Linotype" w:hAnsi="Palatino Linotype" w:cs="Times New Roman"/>
          <w:sz w:val="26"/>
          <w:szCs w:val="26"/>
          <w:lang w:eastAsia="en-ID"/>
        </w:rPr>
        <w:t xml:space="preserve"> </w:t>
      </w:r>
      <w:proofErr w:type="spellStart"/>
      <w:r w:rsidRPr="005E4B53">
        <w:rPr>
          <w:rFonts w:ascii="Palatino Linotype" w:hAnsi="Palatino Linotype" w:cs="Times New Roman"/>
          <w:sz w:val="26"/>
          <w:szCs w:val="26"/>
          <w:lang w:eastAsia="en-ID"/>
        </w:rPr>
        <w:t>masukan</w:t>
      </w:r>
      <w:proofErr w:type="spellEnd"/>
      <w:r w:rsidRPr="005E4B53">
        <w:rPr>
          <w:rFonts w:ascii="Palatino Linotype" w:hAnsi="Palatino Linotype" w:cs="Times New Roman"/>
          <w:sz w:val="26"/>
          <w:szCs w:val="26"/>
          <w:lang w:eastAsia="en-ID"/>
        </w:rPr>
        <w:t xml:space="preserve"> dan saran </w:t>
      </w:r>
      <w:proofErr w:type="spellStart"/>
      <w:r w:rsidRPr="005E4B53">
        <w:rPr>
          <w:rFonts w:ascii="Palatino Linotype" w:hAnsi="Palatino Linotype" w:cs="Times New Roman"/>
          <w:sz w:val="26"/>
          <w:szCs w:val="26"/>
          <w:lang w:eastAsia="en-ID"/>
        </w:rPr>
        <w:t>telah</w:t>
      </w:r>
      <w:proofErr w:type="spellEnd"/>
      <w:r w:rsidRPr="005E4B53">
        <w:rPr>
          <w:rFonts w:ascii="Palatino Linotype" w:hAnsi="Palatino Linotype" w:cs="Times New Roman"/>
          <w:sz w:val="26"/>
          <w:szCs w:val="26"/>
          <w:lang w:eastAsia="en-ID"/>
        </w:rPr>
        <w:t xml:space="preserve"> sangat </w:t>
      </w:r>
      <w:proofErr w:type="spellStart"/>
      <w:r w:rsidRPr="005E4B53">
        <w:rPr>
          <w:rFonts w:ascii="Palatino Linotype" w:hAnsi="Palatino Linotype" w:cs="Times New Roman"/>
          <w:sz w:val="26"/>
          <w:szCs w:val="26"/>
          <w:lang w:eastAsia="en-ID"/>
        </w:rPr>
        <w:t>membantu</w:t>
      </w:r>
      <w:proofErr w:type="spellEnd"/>
      <w:r w:rsidRPr="005E4B53">
        <w:rPr>
          <w:rFonts w:ascii="Palatino Linotype" w:hAnsi="Palatino Linotype" w:cs="Times New Roman"/>
          <w:sz w:val="26"/>
          <w:szCs w:val="26"/>
          <w:lang w:eastAsia="en-ID"/>
        </w:rPr>
        <w:t xml:space="preserve"> </w:t>
      </w:r>
      <w:proofErr w:type="spellStart"/>
      <w:r w:rsidRPr="005E4B53">
        <w:rPr>
          <w:rFonts w:ascii="Palatino Linotype" w:hAnsi="Palatino Linotype" w:cs="Times New Roman"/>
          <w:sz w:val="26"/>
          <w:szCs w:val="26"/>
          <w:lang w:eastAsia="en-ID"/>
        </w:rPr>
        <w:t>peneliti</w:t>
      </w:r>
      <w:proofErr w:type="spellEnd"/>
      <w:r w:rsidRPr="005E4B53">
        <w:rPr>
          <w:rFonts w:ascii="Palatino Linotype" w:hAnsi="Palatino Linotype" w:cs="Times New Roman"/>
          <w:sz w:val="26"/>
          <w:szCs w:val="26"/>
          <w:lang w:eastAsia="en-ID"/>
        </w:rPr>
        <w:t xml:space="preserve"> </w:t>
      </w:r>
      <w:proofErr w:type="spellStart"/>
      <w:r w:rsidRPr="005E4B53">
        <w:rPr>
          <w:rFonts w:ascii="Palatino Linotype" w:hAnsi="Palatino Linotype" w:cs="Times New Roman"/>
          <w:sz w:val="26"/>
          <w:szCs w:val="26"/>
          <w:lang w:eastAsia="en-ID"/>
        </w:rPr>
        <w:t>dalam</w:t>
      </w:r>
      <w:proofErr w:type="spellEnd"/>
      <w:r w:rsidRPr="005E4B53">
        <w:rPr>
          <w:rFonts w:ascii="Palatino Linotype" w:hAnsi="Palatino Linotype" w:cs="Times New Roman"/>
          <w:sz w:val="26"/>
          <w:szCs w:val="26"/>
          <w:lang w:eastAsia="en-ID"/>
        </w:rPr>
        <w:t xml:space="preserve"> </w:t>
      </w:r>
      <w:proofErr w:type="spellStart"/>
      <w:r w:rsidRPr="005E4B53">
        <w:rPr>
          <w:rFonts w:ascii="Palatino Linotype" w:hAnsi="Palatino Linotype" w:cs="Times New Roman"/>
          <w:sz w:val="26"/>
          <w:szCs w:val="26"/>
          <w:lang w:eastAsia="en-ID"/>
        </w:rPr>
        <w:t>menyelesaikan</w:t>
      </w:r>
      <w:proofErr w:type="spellEnd"/>
      <w:r w:rsidRPr="005E4B53">
        <w:rPr>
          <w:rFonts w:ascii="Palatino Linotype" w:hAnsi="Palatino Linotype" w:cs="Times New Roman"/>
          <w:sz w:val="26"/>
          <w:szCs w:val="26"/>
          <w:lang w:eastAsia="en-ID"/>
        </w:rPr>
        <w:t xml:space="preserve"> </w:t>
      </w:r>
      <w:proofErr w:type="spellStart"/>
      <w:r w:rsidRPr="005E4B53">
        <w:rPr>
          <w:rFonts w:ascii="Palatino Linotype" w:hAnsi="Palatino Linotype" w:cs="Times New Roman"/>
          <w:sz w:val="26"/>
          <w:szCs w:val="26"/>
          <w:lang w:eastAsia="en-ID"/>
        </w:rPr>
        <w:t>penulisan</w:t>
      </w:r>
      <w:proofErr w:type="spellEnd"/>
      <w:r w:rsidRPr="005E4B53">
        <w:rPr>
          <w:rFonts w:ascii="Palatino Linotype" w:hAnsi="Palatino Linotype" w:cs="Times New Roman"/>
          <w:sz w:val="26"/>
          <w:szCs w:val="26"/>
          <w:lang w:eastAsia="en-ID"/>
        </w:rPr>
        <w:t xml:space="preserve"> </w:t>
      </w:r>
      <w:proofErr w:type="spellStart"/>
      <w:r w:rsidRPr="005E4B53">
        <w:rPr>
          <w:rFonts w:ascii="Palatino Linotype" w:hAnsi="Palatino Linotype" w:cs="Times New Roman"/>
          <w:sz w:val="26"/>
          <w:szCs w:val="26"/>
          <w:lang w:eastAsia="en-ID"/>
        </w:rPr>
        <w:t>ini</w:t>
      </w:r>
      <w:proofErr w:type="spellEnd"/>
      <w:r w:rsidRPr="005E4B53">
        <w:rPr>
          <w:rFonts w:ascii="Palatino Linotype" w:hAnsi="Palatino Linotype" w:cs="Times New Roman"/>
          <w:sz w:val="26"/>
          <w:szCs w:val="26"/>
          <w:lang w:eastAsia="en-ID"/>
        </w:rPr>
        <w:t>.</w:t>
      </w:r>
    </w:p>
    <w:p w14:paraId="2A88CC7D" w14:textId="77777777" w:rsidR="00630E79" w:rsidRPr="003C0550" w:rsidRDefault="00630E79" w:rsidP="009B0D70">
      <w:pPr>
        <w:pStyle w:val="BodyText"/>
        <w:spacing w:before="3" w:line="276" w:lineRule="auto"/>
        <w:ind w:left="0"/>
        <w:jc w:val="both"/>
      </w:pPr>
    </w:p>
    <w:p w14:paraId="5D19AF26" w14:textId="3DFB9C31" w:rsidR="00630E79" w:rsidRPr="00F867E1" w:rsidRDefault="00F867E1" w:rsidP="009B0D70">
      <w:pPr>
        <w:pStyle w:val="Heading1"/>
        <w:numPr>
          <w:ilvl w:val="0"/>
          <w:numId w:val="1"/>
        </w:numPr>
        <w:tabs>
          <w:tab w:val="left" w:pos="461"/>
        </w:tabs>
        <w:spacing w:line="276" w:lineRule="auto"/>
        <w:ind w:right="122"/>
        <w:rPr>
          <w:color w:val="17365D" w:themeColor="text2" w:themeShade="BF"/>
        </w:rPr>
      </w:pPr>
      <w:proofErr w:type="spellStart"/>
      <w:r w:rsidRPr="00F867E1">
        <w:rPr>
          <w:bCs w:val="0"/>
          <w:color w:val="17365D" w:themeColor="text2" w:themeShade="BF"/>
          <w:sz w:val="32"/>
          <w:szCs w:val="32"/>
        </w:rPr>
        <w:t>Referensi</w:t>
      </w:r>
      <w:proofErr w:type="spellEnd"/>
    </w:p>
    <w:p w14:paraId="11C0652F" w14:textId="77777777" w:rsidR="000F1F54" w:rsidRPr="00026EF7" w:rsidRDefault="00546C36" w:rsidP="00F330DA">
      <w:pPr>
        <w:pStyle w:val="Bibliography"/>
        <w:spacing w:line="276" w:lineRule="auto"/>
        <w:jc w:val="both"/>
        <w:rPr>
          <w:rFonts w:ascii="Palatino Linotype" w:hAnsi="Palatino Linotype"/>
          <w:sz w:val="26"/>
        </w:rPr>
      </w:pPr>
      <w:r w:rsidRPr="00026EF7">
        <w:rPr>
          <w:rFonts w:ascii="Palatino Linotype" w:hAnsi="Palatino Linotype" w:cs="Calibri"/>
          <w:sz w:val="26"/>
        </w:rPr>
        <w:fldChar w:fldCharType="begin"/>
      </w:r>
      <w:r w:rsidR="000F1F54" w:rsidRPr="00026EF7">
        <w:rPr>
          <w:rFonts w:ascii="Palatino Linotype" w:hAnsi="Palatino Linotype" w:cs="Calibri"/>
          <w:sz w:val="26"/>
          <w:lang w:val="pt-BR"/>
        </w:rPr>
        <w:instrText xml:space="preserve"> ADDIN ZOTERO_BIBL {"uncited":[],"omitted":[],"custom":[]} CSL_BIBLIOGRAPHY </w:instrText>
      </w:r>
      <w:r w:rsidRPr="00026EF7">
        <w:rPr>
          <w:rFonts w:ascii="Palatino Linotype" w:hAnsi="Palatino Linotype" w:cs="Calibri"/>
          <w:sz w:val="26"/>
        </w:rPr>
        <w:fldChar w:fldCharType="separate"/>
      </w:r>
      <w:r w:rsidR="000F1F54" w:rsidRPr="00026EF7">
        <w:rPr>
          <w:rFonts w:ascii="Palatino Linotype" w:hAnsi="Palatino Linotype"/>
          <w:sz w:val="26"/>
          <w:lang w:val="pt-BR"/>
        </w:rPr>
        <w:t xml:space="preserve">Adi Surya, Faizal. “PLURALISME HUKUM DALAM PERSPEKTIF PANCASILA TANTANGAN DALAM ERA GLOBALISASI.” </w:t>
      </w:r>
      <w:r w:rsidR="000F1F54" w:rsidRPr="00026EF7">
        <w:rPr>
          <w:rFonts w:ascii="Palatino Linotype" w:hAnsi="Palatino Linotype"/>
          <w:i/>
          <w:iCs/>
          <w:sz w:val="26"/>
        </w:rPr>
        <w:t>Indonesian Journal of Legality of Law</w:t>
      </w:r>
      <w:r w:rsidR="000F1F54" w:rsidRPr="00026EF7">
        <w:rPr>
          <w:rFonts w:ascii="Palatino Linotype" w:hAnsi="Palatino Linotype"/>
          <w:sz w:val="26"/>
        </w:rPr>
        <w:t xml:space="preserve"> 6, no. 1 (2023): 207–12. https://doi.org/10.35965/ijlf.v6i1.3931.</w:t>
      </w:r>
    </w:p>
    <w:p w14:paraId="1CF6704D" w14:textId="77777777" w:rsidR="000F1F54" w:rsidRPr="00026EF7" w:rsidRDefault="000F1F54" w:rsidP="00F330DA">
      <w:pPr>
        <w:pStyle w:val="Bibliography"/>
        <w:spacing w:line="276" w:lineRule="auto"/>
        <w:jc w:val="both"/>
        <w:rPr>
          <w:rFonts w:ascii="Palatino Linotype" w:hAnsi="Palatino Linotype"/>
          <w:sz w:val="26"/>
        </w:rPr>
      </w:pPr>
      <w:r w:rsidRPr="00026EF7">
        <w:rPr>
          <w:rFonts w:ascii="Palatino Linotype" w:hAnsi="Palatino Linotype"/>
          <w:sz w:val="26"/>
        </w:rPr>
        <w:t xml:space="preserve">Agung, Sagdiyah Fitri Andani Tambunan, and Muhammad Irwan Padli Nasution. “Perlindungan Hukum Terhadap Data Pribadi Konsumen Dalam Melakukan Transaksi Di E-Commerce.” </w:t>
      </w:r>
      <w:r w:rsidRPr="00026EF7">
        <w:rPr>
          <w:rFonts w:ascii="Palatino Linotype" w:hAnsi="Palatino Linotype"/>
          <w:i/>
          <w:iCs/>
          <w:sz w:val="26"/>
        </w:rPr>
        <w:t>Jurnal Ekonomi Manajemen dan Bisnis (JEMB)</w:t>
      </w:r>
      <w:r w:rsidRPr="00026EF7">
        <w:rPr>
          <w:rFonts w:ascii="Palatino Linotype" w:hAnsi="Palatino Linotype"/>
          <w:sz w:val="26"/>
        </w:rPr>
        <w:t xml:space="preserve"> 2, no. 1 (2023): 5–7. https://doi.org/10.47233/jemb.v2i1.915.</w:t>
      </w:r>
    </w:p>
    <w:p w14:paraId="353F049A" w14:textId="77777777" w:rsidR="000F1F54" w:rsidRPr="00026EF7" w:rsidRDefault="000F1F54" w:rsidP="00F330DA">
      <w:pPr>
        <w:pStyle w:val="Bibliography"/>
        <w:spacing w:line="276" w:lineRule="auto"/>
        <w:jc w:val="both"/>
        <w:rPr>
          <w:rFonts w:ascii="Palatino Linotype" w:hAnsi="Palatino Linotype"/>
          <w:sz w:val="26"/>
          <w:lang w:val="pt-BR"/>
        </w:rPr>
      </w:pPr>
      <w:r w:rsidRPr="00026EF7">
        <w:rPr>
          <w:rFonts w:ascii="Palatino Linotype" w:hAnsi="Palatino Linotype"/>
          <w:sz w:val="26"/>
        </w:rPr>
        <w:t xml:space="preserve">Ahmad Muhamad Mustain Nasoha, Ashfiya Nur Atqiya, Ardwana Riswari Wisnu, Arif Budi Utomo, and Inayatun Nafi’ah. </w:t>
      </w:r>
      <w:r w:rsidRPr="00026EF7">
        <w:rPr>
          <w:rFonts w:ascii="Palatino Linotype" w:hAnsi="Palatino Linotype"/>
          <w:sz w:val="26"/>
          <w:lang w:val="pt-BR"/>
        </w:rPr>
        <w:t xml:space="preserve">“Pengaruh Pancasila Terhadap Pengaturan Hukum Adat dalam Konstitusi Indonesia Perspektif Historis dan Yuridis.” </w:t>
      </w:r>
      <w:r w:rsidRPr="00026EF7">
        <w:rPr>
          <w:rFonts w:ascii="Palatino Linotype" w:hAnsi="Palatino Linotype"/>
          <w:i/>
          <w:iCs/>
          <w:sz w:val="26"/>
          <w:lang w:val="pt-BR"/>
        </w:rPr>
        <w:t>Hukum Inovatif</w:t>
      </w:r>
      <w:r w:rsidRPr="00026EF7">
        <w:rPr>
          <w:rFonts w:ascii="Times New Roman" w:hAnsi="Times New Roman" w:cs="Times New Roman"/>
          <w:i/>
          <w:iCs/>
          <w:sz w:val="26"/>
          <w:lang w:val="pt-BR"/>
        </w:rPr>
        <w:t> </w:t>
      </w:r>
      <w:r w:rsidRPr="00026EF7">
        <w:rPr>
          <w:rFonts w:ascii="Palatino Linotype" w:hAnsi="Palatino Linotype"/>
          <w:i/>
          <w:iCs/>
          <w:sz w:val="26"/>
          <w:lang w:val="pt-BR"/>
        </w:rPr>
        <w:t>: Jurnal Ilmu Hukum Sosial dan Humaniora</w:t>
      </w:r>
      <w:r w:rsidRPr="00026EF7">
        <w:rPr>
          <w:rFonts w:ascii="Palatino Linotype" w:hAnsi="Palatino Linotype"/>
          <w:sz w:val="26"/>
          <w:lang w:val="pt-BR"/>
        </w:rPr>
        <w:t xml:space="preserve"> 1, no. 4 (2024): 309–21. https://doi.org/10.62383/humif.v1i4.934.</w:t>
      </w:r>
    </w:p>
    <w:p w14:paraId="4DA05E7D" w14:textId="77777777" w:rsidR="000F1F54" w:rsidRPr="00026EF7" w:rsidRDefault="000F1F54" w:rsidP="00F330DA">
      <w:pPr>
        <w:pStyle w:val="Bibliography"/>
        <w:spacing w:line="276" w:lineRule="auto"/>
        <w:jc w:val="both"/>
        <w:rPr>
          <w:rFonts w:ascii="Palatino Linotype" w:hAnsi="Palatino Linotype"/>
          <w:sz w:val="26"/>
          <w:lang w:val="pt-BR"/>
        </w:rPr>
      </w:pPr>
      <w:r w:rsidRPr="00026EF7">
        <w:rPr>
          <w:rFonts w:ascii="Palatino Linotype" w:hAnsi="Palatino Linotype"/>
          <w:sz w:val="26"/>
          <w:lang w:val="pt-BR"/>
        </w:rPr>
        <w:t xml:space="preserve">Aji, Ivan Krisna, and Gusganda Suria Manda. “Pengaruh Risiko Kredit Dan Risiko Likuiditas Terhadap Profitabilitas Pada Bank BUMN.” </w:t>
      </w:r>
      <w:r w:rsidRPr="00026EF7">
        <w:rPr>
          <w:rFonts w:ascii="Palatino Linotype" w:hAnsi="Palatino Linotype"/>
          <w:i/>
          <w:iCs/>
          <w:sz w:val="26"/>
          <w:lang w:val="pt-BR"/>
        </w:rPr>
        <w:t>JAD</w:t>
      </w:r>
      <w:r w:rsidRPr="00026EF7">
        <w:rPr>
          <w:rFonts w:ascii="Times New Roman" w:hAnsi="Times New Roman" w:cs="Times New Roman"/>
          <w:i/>
          <w:iCs/>
          <w:sz w:val="26"/>
          <w:lang w:val="pt-BR"/>
        </w:rPr>
        <w:t> </w:t>
      </w:r>
      <w:r w:rsidRPr="00026EF7">
        <w:rPr>
          <w:rFonts w:ascii="Palatino Linotype" w:hAnsi="Palatino Linotype"/>
          <w:i/>
          <w:iCs/>
          <w:sz w:val="26"/>
          <w:lang w:val="pt-BR"/>
        </w:rPr>
        <w:t>: Jurnal Riset Akuntansi &amp; Keuangan Dewantara</w:t>
      </w:r>
      <w:r w:rsidRPr="00026EF7">
        <w:rPr>
          <w:rFonts w:ascii="Palatino Linotype" w:hAnsi="Palatino Linotype"/>
          <w:sz w:val="26"/>
          <w:lang w:val="pt-BR"/>
        </w:rPr>
        <w:t xml:space="preserve"> 4, no. 1 (1970): 36–45. https://doi.org/10.26533/jad.v4i1.748.</w:t>
      </w:r>
    </w:p>
    <w:p w14:paraId="1C55B362" w14:textId="77777777" w:rsidR="000F1F54" w:rsidRPr="00026EF7" w:rsidRDefault="000F1F54" w:rsidP="00F330DA">
      <w:pPr>
        <w:pStyle w:val="Bibliography"/>
        <w:spacing w:line="276" w:lineRule="auto"/>
        <w:jc w:val="both"/>
        <w:rPr>
          <w:rFonts w:ascii="Palatino Linotype" w:hAnsi="Palatino Linotype"/>
          <w:sz w:val="26"/>
        </w:rPr>
      </w:pPr>
      <w:r w:rsidRPr="00026EF7">
        <w:rPr>
          <w:rFonts w:ascii="Palatino Linotype" w:hAnsi="Palatino Linotype"/>
          <w:sz w:val="26"/>
        </w:rPr>
        <w:t xml:space="preserve">Amiruddin, and Zainal Asikin. </w:t>
      </w:r>
      <w:r w:rsidRPr="00026EF7">
        <w:rPr>
          <w:rFonts w:ascii="Palatino Linotype" w:hAnsi="Palatino Linotype"/>
          <w:i/>
          <w:iCs/>
          <w:sz w:val="26"/>
        </w:rPr>
        <w:t>Pengantar Metode Penelitian Hukum</w:t>
      </w:r>
      <w:r w:rsidRPr="00026EF7">
        <w:rPr>
          <w:rFonts w:ascii="Palatino Linotype" w:hAnsi="Palatino Linotype"/>
          <w:sz w:val="26"/>
        </w:rPr>
        <w:t>. Rajawali Press, 2012.</w:t>
      </w:r>
    </w:p>
    <w:p w14:paraId="1ECF8581" w14:textId="77777777" w:rsidR="000F1F54" w:rsidRPr="00026EF7" w:rsidRDefault="000F1F54" w:rsidP="00F330DA">
      <w:pPr>
        <w:pStyle w:val="Bibliography"/>
        <w:spacing w:line="276" w:lineRule="auto"/>
        <w:jc w:val="both"/>
        <w:rPr>
          <w:rFonts w:ascii="Palatino Linotype" w:hAnsi="Palatino Linotype"/>
          <w:sz w:val="26"/>
        </w:rPr>
      </w:pPr>
      <w:r w:rsidRPr="00026EF7">
        <w:rPr>
          <w:rFonts w:ascii="Palatino Linotype" w:hAnsi="Palatino Linotype"/>
          <w:sz w:val="26"/>
        </w:rPr>
        <w:t xml:space="preserve">Andani, Milenisha, Karol Teovani Lodan, and Etika Khairina. “Analisis Penerapan Asas-asas Good Corporate Governance Pada Badan Usaha Milik Negara </w:t>
      </w:r>
      <w:r w:rsidRPr="00026EF7">
        <w:rPr>
          <w:rFonts w:ascii="Palatino Linotype" w:hAnsi="Palatino Linotype"/>
          <w:sz w:val="26"/>
        </w:rPr>
        <w:lastRenderedPageBreak/>
        <w:t xml:space="preserve">(BUMN) Di Indonesia.” </w:t>
      </w:r>
      <w:r w:rsidRPr="00026EF7">
        <w:rPr>
          <w:rFonts w:ascii="Palatino Linotype" w:hAnsi="Palatino Linotype"/>
          <w:i/>
          <w:iCs/>
          <w:sz w:val="26"/>
        </w:rPr>
        <w:t>Prosiding Seminar Nasional Ilmu Sosial &amp; Teknologi (SNISTEK)</w:t>
      </w:r>
      <w:r w:rsidRPr="00026EF7">
        <w:rPr>
          <w:rFonts w:ascii="Palatino Linotype" w:hAnsi="Palatino Linotype"/>
          <w:sz w:val="26"/>
        </w:rPr>
        <w:t xml:space="preserve"> 6 (2024).</w:t>
      </w:r>
    </w:p>
    <w:p w14:paraId="1A41639B" w14:textId="77777777" w:rsidR="000F1F54" w:rsidRPr="00026EF7" w:rsidRDefault="000F1F54" w:rsidP="00F330DA">
      <w:pPr>
        <w:pStyle w:val="Bibliography"/>
        <w:spacing w:line="276" w:lineRule="auto"/>
        <w:jc w:val="both"/>
        <w:rPr>
          <w:rFonts w:ascii="Palatino Linotype" w:hAnsi="Palatino Linotype"/>
          <w:sz w:val="26"/>
        </w:rPr>
      </w:pPr>
      <w:r w:rsidRPr="00026EF7">
        <w:rPr>
          <w:rFonts w:ascii="Palatino Linotype" w:hAnsi="Palatino Linotype"/>
          <w:sz w:val="26"/>
          <w:lang w:val="pt-BR"/>
        </w:rPr>
        <w:t xml:space="preserve">Angelita, Gloria, and Eko Saksono. </w:t>
      </w:r>
      <w:r w:rsidRPr="00026EF7">
        <w:rPr>
          <w:rFonts w:ascii="Palatino Linotype" w:hAnsi="Palatino Linotype"/>
          <w:sz w:val="26"/>
        </w:rPr>
        <w:t xml:space="preserve">“The Role of Communication Corporate To Save the Reputation of PT. Garuda Indonesia, Tbk (BUMN Companies Restructure &amp; BJR Implimentation).” </w:t>
      </w:r>
      <w:r w:rsidRPr="00026EF7">
        <w:rPr>
          <w:rFonts w:ascii="Palatino Linotype" w:hAnsi="Palatino Linotype"/>
          <w:i/>
          <w:iCs/>
          <w:sz w:val="26"/>
        </w:rPr>
        <w:t>American Journal of Humanities and Social Sciences Research (AJHSSR)</w:t>
      </w:r>
      <w:r w:rsidRPr="00026EF7">
        <w:rPr>
          <w:rFonts w:ascii="Palatino Linotype" w:hAnsi="Palatino Linotype"/>
          <w:sz w:val="26"/>
        </w:rPr>
        <w:t xml:space="preserve"> 7, no. 3 (2023): 64–73.</w:t>
      </w:r>
    </w:p>
    <w:p w14:paraId="5996FE8F" w14:textId="77777777" w:rsidR="000F1F54" w:rsidRPr="00026EF7" w:rsidRDefault="000F1F54" w:rsidP="00F330DA">
      <w:pPr>
        <w:pStyle w:val="Bibliography"/>
        <w:spacing w:line="276" w:lineRule="auto"/>
        <w:jc w:val="both"/>
        <w:rPr>
          <w:rFonts w:ascii="Palatino Linotype" w:hAnsi="Palatino Linotype"/>
          <w:sz w:val="26"/>
        </w:rPr>
      </w:pPr>
      <w:r w:rsidRPr="00026EF7">
        <w:rPr>
          <w:rFonts w:ascii="Palatino Linotype" w:hAnsi="Palatino Linotype"/>
          <w:sz w:val="26"/>
        </w:rPr>
        <w:t xml:space="preserve">Anggraini, Hilwa, Zein Ghozali, and Sri Sutandi. “Analisis Sistem Informasi Akuntansi Pengeluaran Kas Uang Ganti Kerugian Pengadaan Tanah Jalan Tol Simpang Indralaya-Muara Enim Di Kementrian PUPR.” </w:t>
      </w:r>
      <w:r w:rsidRPr="00026EF7">
        <w:rPr>
          <w:rFonts w:ascii="Palatino Linotype" w:hAnsi="Palatino Linotype"/>
          <w:i/>
          <w:iCs/>
          <w:sz w:val="26"/>
        </w:rPr>
        <w:t>Jurnal EKOBIS</w:t>
      </w:r>
      <w:r w:rsidRPr="00026EF7">
        <w:rPr>
          <w:rFonts w:ascii="Times New Roman" w:hAnsi="Times New Roman" w:cs="Times New Roman"/>
          <w:i/>
          <w:iCs/>
          <w:sz w:val="26"/>
        </w:rPr>
        <w:t> </w:t>
      </w:r>
      <w:r w:rsidRPr="00026EF7">
        <w:rPr>
          <w:rFonts w:ascii="Palatino Linotype" w:hAnsi="Palatino Linotype"/>
          <w:i/>
          <w:iCs/>
          <w:sz w:val="26"/>
        </w:rPr>
        <w:t>: Kajian Ekonomi Dan Bisnis</w:t>
      </w:r>
      <w:r w:rsidRPr="00026EF7">
        <w:rPr>
          <w:rFonts w:ascii="Palatino Linotype" w:hAnsi="Palatino Linotype"/>
          <w:sz w:val="26"/>
        </w:rPr>
        <w:t xml:space="preserve"> 6, no. 1 (2022).</w:t>
      </w:r>
    </w:p>
    <w:p w14:paraId="10B09835" w14:textId="77777777" w:rsidR="000F1F54" w:rsidRPr="00026EF7" w:rsidRDefault="000F1F54" w:rsidP="00F330DA">
      <w:pPr>
        <w:pStyle w:val="Bibliography"/>
        <w:spacing w:line="276" w:lineRule="auto"/>
        <w:jc w:val="both"/>
        <w:rPr>
          <w:rFonts w:ascii="Palatino Linotype" w:hAnsi="Palatino Linotype"/>
          <w:sz w:val="26"/>
        </w:rPr>
      </w:pPr>
      <w:r w:rsidRPr="00026EF7">
        <w:rPr>
          <w:rFonts w:ascii="Palatino Linotype" w:hAnsi="Palatino Linotype"/>
          <w:sz w:val="26"/>
        </w:rPr>
        <w:t xml:space="preserve">Asnawi, M Iqbal, Mustika Putra Rokan, and M Irfan Islami Rambe. </w:t>
      </w:r>
      <w:r w:rsidRPr="00026EF7">
        <w:rPr>
          <w:rFonts w:ascii="Palatino Linotype" w:hAnsi="Palatino Linotype"/>
          <w:sz w:val="26"/>
          <w:lang w:val="pt-BR"/>
        </w:rPr>
        <w:t xml:space="preserve">“Danantara Dalam Perspektif Hukum Korporasi: Potensi Problem Tata Kelola dan Celah Pengawasan.” </w:t>
      </w:r>
      <w:r w:rsidRPr="00026EF7">
        <w:rPr>
          <w:rFonts w:ascii="Palatino Linotype" w:hAnsi="Palatino Linotype"/>
          <w:i/>
          <w:iCs/>
          <w:sz w:val="26"/>
        </w:rPr>
        <w:t>Locus: Jurnal Konsep Ilmu Hukum</w:t>
      </w:r>
      <w:r w:rsidRPr="00026EF7">
        <w:rPr>
          <w:rFonts w:ascii="Palatino Linotype" w:hAnsi="Palatino Linotype"/>
          <w:sz w:val="26"/>
        </w:rPr>
        <w:t xml:space="preserve"> 5, no. 2 (2025).</w:t>
      </w:r>
    </w:p>
    <w:p w14:paraId="61CBDE14" w14:textId="77777777" w:rsidR="000F1F54" w:rsidRPr="00026EF7" w:rsidRDefault="000F1F54" w:rsidP="00F330DA">
      <w:pPr>
        <w:pStyle w:val="Bibliography"/>
        <w:spacing w:line="276" w:lineRule="auto"/>
        <w:jc w:val="both"/>
        <w:rPr>
          <w:rFonts w:ascii="Palatino Linotype" w:hAnsi="Palatino Linotype"/>
          <w:sz w:val="26"/>
        </w:rPr>
      </w:pPr>
      <w:r w:rsidRPr="00026EF7">
        <w:rPr>
          <w:rFonts w:ascii="Palatino Linotype" w:hAnsi="Palatino Linotype"/>
          <w:sz w:val="26"/>
        </w:rPr>
        <w:t xml:space="preserve">Asri Putri, Tiyas, and Tundjung Herning Sitabuana. “Pengawasan Pengelolaan Keuangan Negara Terhadap Badan Usaha Milik Negara (BUMN).” </w:t>
      </w:r>
      <w:r w:rsidRPr="00026EF7">
        <w:rPr>
          <w:rFonts w:ascii="Palatino Linotype" w:hAnsi="Palatino Linotype"/>
          <w:i/>
          <w:iCs/>
          <w:sz w:val="26"/>
        </w:rPr>
        <w:t>SIBATIK JOURNAL: Jurnal Ilmiah Bidang Sosial, Ekonomi, Budaya, Teknologi, dan Pendidikan</w:t>
      </w:r>
      <w:r w:rsidRPr="00026EF7">
        <w:rPr>
          <w:rFonts w:ascii="Palatino Linotype" w:hAnsi="Palatino Linotype"/>
          <w:sz w:val="26"/>
        </w:rPr>
        <w:t xml:space="preserve"> 1, no. 7 (2022): 1003–18. https://doi.org/10.54443/sibatik.v1i7.118.</w:t>
      </w:r>
    </w:p>
    <w:p w14:paraId="65138147" w14:textId="77777777" w:rsidR="000F1F54" w:rsidRPr="00026EF7" w:rsidRDefault="000F1F54" w:rsidP="00F330DA">
      <w:pPr>
        <w:pStyle w:val="Bibliography"/>
        <w:spacing w:line="276" w:lineRule="auto"/>
        <w:jc w:val="both"/>
        <w:rPr>
          <w:rFonts w:ascii="Palatino Linotype" w:hAnsi="Palatino Linotype"/>
          <w:sz w:val="26"/>
        </w:rPr>
      </w:pPr>
      <w:r w:rsidRPr="00026EF7">
        <w:rPr>
          <w:rFonts w:ascii="Palatino Linotype" w:hAnsi="Palatino Linotype"/>
          <w:sz w:val="26"/>
        </w:rPr>
        <w:t xml:space="preserve">Bramantyo, Rizki Yudha, and Gentur Cahyo Setiono. “Implementasi Undang-Undang Dasar 1945 Pasal 18b Ayat 2 Tentang Pengakuan Negara Terhadap Norma Adat Dalam Perspektif Religius dan Ritualis Masyarakat Dusun Temboro Kecamatan Wates Kabupaten Kediri.” </w:t>
      </w:r>
      <w:r w:rsidRPr="00026EF7">
        <w:rPr>
          <w:rFonts w:ascii="Palatino Linotype" w:hAnsi="Palatino Linotype"/>
          <w:i/>
          <w:iCs/>
          <w:sz w:val="26"/>
        </w:rPr>
        <w:t>Transparansi Hukum</w:t>
      </w:r>
      <w:r w:rsidRPr="00026EF7">
        <w:rPr>
          <w:rFonts w:ascii="Palatino Linotype" w:hAnsi="Palatino Linotype"/>
          <w:sz w:val="26"/>
        </w:rPr>
        <w:t>, ahead of print, November 18, 2022. https://doi.org/10.30737/transparansi.v0i0.3688.</w:t>
      </w:r>
    </w:p>
    <w:p w14:paraId="38535CBB" w14:textId="77777777" w:rsidR="000F1F54" w:rsidRPr="00026EF7" w:rsidRDefault="000F1F54" w:rsidP="00F330DA">
      <w:pPr>
        <w:pStyle w:val="Bibliography"/>
        <w:spacing w:line="276" w:lineRule="auto"/>
        <w:jc w:val="both"/>
        <w:rPr>
          <w:rFonts w:ascii="Palatino Linotype" w:hAnsi="Palatino Linotype"/>
          <w:sz w:val="26"/>
        </w:rPr>
      </w:pPr>
      <w:r w:rsidRPr="00026EF7">
        <w:rPr>
          <w:rFonts w:ascii="Palatino Linotype" w:hAnsi="Palatino Linotype"/>
          <w:sz w:val="26"/>
        </w:rPr>
        <w:t xml:space="preserve">Disyon, Huta, and Kevin Bhaskara Sibarani. “Keadilan sebagai Tujuan Hukum dari Hak Menguasai Negara dalam Skema Holding BUMN.” </w:t>
      </w:r>
      <w:r w:rsidRPr="00026EF7">
        <w:rPr>
          <w:rFonts w:ascii="Palatino Linotype" w:hAnsi="Palatino Linotype"/>
          <w:i/>
          <w:iCs/>
          <w:sz w:val="26"/>
        </w:rPr>
        <w:t>Pancasila: Jurnal Keindonesiaan</w:t>
      </w:r>
      <w:r w:rsidRPr="00026EF7">
        <w:rPr>
          <w:rFonts w:ascii="Palatino Linotype" w:hAnsi="Palatino Linotype"/>
          <w:sz w:val="26"/>
        </w:rPr>
        <w:t xml:space="preserve"> 3, no. 2 (2023): 134–48. https://doi.org/10.52738/pjk.v3i2.184.</w:t>
      </w:r>
    </w:p>
    <w:p w14:paraId="711946E6" w14:textId="77777777" w:rsidR="000F1F54" w:rsidRPr="00026EF7" w:rsidRDefault="000F1F54" w:rsidP="00F330DA">
      <w:pPr>
        <w:pStyle w:val="Bibliography"/>
        <w:spacing w:line="276" w:lineRule="auto"/>
        <w:jc w:val="both"/>
        <w:rPr>
          <w:rFonts w:ascii="Palatino Linotype" w:hAnsi="Palatino Linotype"/>
          <w:sz w:val="26"/>
        </w:rPr>
      </w:pPr>
      <w:r w:rsidRPr="00026EF7">
        <w:rPr>
          <w:rFonts w:ascii="Palatino Linotype" w:hAnsi="Palatino Linotype"/>
          <w:sz w:val="26"/>
        </w:rPr>
        <w:lastRenderedPageBreak/>
        <w:t xml:space="preserve">Djuniarsono, Raden, Martin Roestamy, and Endeh Suhartini. </w:t>
      </w:r>
      <w:r w:rsidRPr="00026EF7">
        <w:rPr>
          <w:rFonts w:ascii="Palatino Linotype" w:hAnsi="Palatino Linotype"/>
          <w:sz w:val="26"/>
          <w:lang w:val="pt-BR"/>
        </w:rPr>
        <w:t xml:space="preserve">“Privatisasi BUMN Sebagai Pilar Perekonomian Nasional Dalam Perspektif Hukum Bisnis.” </w:t>
      </w:r>
      <w:r w:rsidRPr="00026EF7">
        <w:rPr>
          <w:rFonts w:ascii="Palatino Linotype" w:hAnsi="Palatino Linotype"/>
          <w:i/>
          <w:iCs/>
          <w:sz w:val="26"/>
        </w:rPr>
        <w:t>JURNAL ILMIAH LIVING LAW</w:t>
      </w:r>
      <w:r w:rsidRPr="00026EF7">
        <w:rPr>
          <w:rFonts w:ascii="Palatino Linotype" w:hAnsi="Palatino Linotype"/>
          <w:sz w:val="26"/>
        </w:rPr>
        <w:t xml:space="preserve"> 15, no. 1 (2023): 1–15. https://doi.org/10.30997/jill.v15i1.7931.</w:t>
      </w:r>
    </w:p>
    <w:p w14:paraId="71C1E501" w14:textId="77777777" w:rsidR="000F1F54" w:rsidRPr="00026EF7" w:rsidRDefault="000F1F54" w:rsidP="00F330DA">
      <w:pPr>
        <w:pStyle w:val="Bibliography"/>
        <w:spacing w:line="276" w:lineRule="auto"/>
        <w:jc w:val="both"/>
        <w:rPr>
          <w:rFonts w:ascii="Palatino Linotype" w:hAnsi="Palatino Linotype"/>
          <w:sz w:val="26"/>
          <w:lang w:val="pt-BR"/>
        </w:rPr>
      </w:pPr>
      <w:r w:rsidRPr="00026EF7">
        <w:rPr>
          <w:rFonts w:ascii="Palatino Linotype" w:hAnsi="Palatino Linotype"/>
          <w:sz w:val="26"/>
        </w:rPr>
        <w:t xml:space="preserve">Elisabeth Nurhaini Butar-Butar. </w:t>
      </w:r>
      <w:r w:rsidRPr="00026EF7">
        <w:rPr>
          <w:rFonts w:ascii="Palatino Linotype" w:hAnsi="Palatino Linotype"/>
          <w:i/>
          <w:iCs/>
          <w:sz w:val="26"/>
        </w:rPr>
        <w:t>Metode Penelitian Hukum, Langkah-Langkah Untuk Menemukan Kebenaran Dalam Ilmu Hukum</w:t>
      </w:r>
      <w:r w:rsidRPr="00026EF7">
        <w:rPr>
          <w:rFonts w:ascii="Palatino Linotype" w:hAnsi="Palatino Linotype"/>
          <w:sz w:val="26"/>
        </w:rPr>
        <w:t xml:space="preserve">. </w:t>
      </w:r>
      <w:r w:rsidRPr="00026EF7">
        <w:rPr>
          <w:rFonts w:ascii="Palatino Linotype" w:hAnsi="Palatino Linotype"/>
          <w:sz w:val="26"/>
          <w:lang w:val="pt-BR"/>
        </w:rPr>
        <w:t>PT. Refika Aditama, 2018.</w:t>
      </w:r>
    </w:p>
    <w:p w14:paraId="367B5684" w14:textId="77777777" w:rsidR="000F1F54" w:rsidRPr="00026EF7" w:rsidRDefault="000F1F54" w:rsidP="00F330DA">
      <w:pPr>
        <w:pStyle w:val="Bibliography"/>
        <w:spacing w:line="276" w:lineRule="auto"/>
        <w:jc w:val="both"/>
        <w:rPr>
          <w:rFonts w:ascii="Palatino Linotype" w:hAnsi="Palatino Linotype"/>
          <w:sz w:val="26"/>
        </w:rPr>
      </w:pPr>
      <w:r w:rsidRPr="00026EF7">
        <w:rPr>
          <w:rFonts w:ascii="Palatino Linotype" w:hAnsi="Palatino Linotype"/>
          <w:sz w:val="26"/>
          <w:lang w:val="pt-BR"/>
        </w:rPr>
        <w:t xml:space="preserve">Hadi, Nikolaus Rendi Prasetya, Sintaria Kusumaningrum, and Slavian O Delastyanto. “Repetisi Dalam Tajuk Rencana Suara Merdeka 1998-2004: Dekonstruksi Bahasa Pers Era Reformasi.” </w:t>
      </w:r>
      <w:r w:rsidRPr="00026EF7">
        <w:rPr>
          <w:rFonts w:ascii="Palatino Linotype" w:hAnsi="Palatino Linotype"/>
          <w:i/>
          <w:iCs/>
          <w:sz w:val="26"/>
        </w:rPr>
        <w:t>Jurnal CULTURE (Culture, Language, and Literature Review)</w:t>
      </w:r>
      <w:r w:rsidRPr="00026EF7">
        <w:rPr>
          <w:rFonts w:ascii="Palatino Linotype" w:hAnsi="Palatino Linotype"/>
          <w:sz w:val="26"/>
        </w:rPr>
        <w:t xml:space="preserve"> 8, no. 1 (2021): 31–53. https://doi.org/10.53873/culture.v8i1.240.</w:t>
      </w:r>
    </w:p>
    <w:p w14:paraId="34B2E93C" w14:textId="77777777" w:rsidR="000F1F54" w:rsidRPr="00026EF7" w:rsidRDefault="000F1F54" w:rsidP="00F330DA">
      <w:pPr>
        <w:pStyle w:val="Bibliography"/>
        <w:spacing w:line="276" w:lineRule="auto"/>
        <w:jc w:val="both"/>
        <w:rPr>
          <w:rFonts w:ascii="Palatino Linotype" w:hAnsi="Palatino Linotype"/>
          <w:sz w:val="26"/>
        </w:rPr>
      </w:pPr>
      <w:r w:rsidRPr="00026EF7">
        <w:rPr>
          <w:rFonts w:ascii="Palatino Linotype" w:hAnsi="Palatino Linotype"/>
          <w:sz w:val="26"/>
        </w:rPr>
        <w:t xml:space="preserve">Herlianti, Beida Almira, Salahudin Salahudin, Syamsulrizal Syamsulrizal, and Havidz Ageng Prakoso. “Melihat Praktek Penjualan Senjata Api Melalui Darkweb: A Systematic Literature Review.” </w:t>
      </w:r>
      <w:r w:rsidRPr="00026EF7">
        <w:rPr>
          <w:rFonts w:ascii="Palatino Linotype" w:hAnsi="Palatino Linotype"/>
          <w:i/>
          <w:iCs/>
          <w:sz w:val="26"/>
        </w:rPr>
        <w:t>Jurnal Ekobis</w:t>
      </w:r>
      <w:r w:rsidRPr="00026EF7">
        <w:rPr>
          <w:rFonts w:ascii="Times New Roman" w:hAnsi="Times New Roman" w:cs="Times New Roman"/>
          <w:i/>
          <w:iCs/>
          <w:sz w:val="26"/>
        </w:rPr>
        <w:t> </w:t>
      </w:r>
      <w:r w:rsidRPr="00026EF7">
        <w:rPr>
          <w:rFonts w:ascii="Palatino Linotype" w:hAnsi="Palatino Linotype"/>
          <w:i/>
          <w:iCs/>
          <w:sz w:val="26"/>
        </w:rPr>
        <w:t>: Ekonomi Bisnis &amp; Manajemen</w:t>
      </w:r>
      <w:r w:rsidRPr="00026EF7">
        <w:rPr>
          <w:rFonts w:ascii="Palatino Linotype" w:hAnsi="Palatino Linotype"/>
          <w:sz w:val="26"/>
        </w:rPr>
        <w:t xml:space="preserve"> 13, no. 1 (2023): 104–14. https://doi.org/10.37932/j.e.v13i1.702.</w:t>
      </w:r>
    </w:p>
    <w:p w14:paraId="4EAA701F" w14:textId="77777777" w:rsidR="000F1F54" w:rsidRPr="00026EF7" w:rsidRDefault="000F1F54" w:rsidP="00F330DA">
      <w:pPr>
        <w:pStyle w:val="Bibliography"/>
        <w:spacing w:line="276" w:lineRule="auto"/>
        <w:jc w:val="both"/>
        <w:rPr>
          <w:rFonts w:ascii="Palatino Linotype" w:hAnsi="Palatino Linotype"/>
          <w:sz w:val="26"/>
        </w:rPr>
      </w:pPr>
      <w:r w:rsidRPr="00026EF7">
        <w:rPr>
          <w:rFonts w:ascii="Palatino Linotype" w:hAnsi="Palatino Linotype"/>
          <w:sz w:val="26"/>
        </w:rPr>
        <w:t xml:space="preserve">Hidayat, Beni Darmawan, and Muhamad Hasan Sebyar. “Implikasi Hukum Perpindahan Pengawasan Aset Kripto dari Bappebti ke OJK terhadap Pelaku Industri dan Investor.” </w:t>
      </w:r>
      <w:r w:rsidRPr="00026EF7">
        <w:rPr>
          <w:rFonts w:ascii="Palatino Linotype" w:hAnsi="Palatino Linotype"/>
          <w:i/>
          <w:iCs/>
          <w:sz w:val="26"/>
        </w:rPr>
        <w:t>HAKIM Jurnal Ilmu Hukum dan Sosial</w:t>
      </w:r>
      <w:r w:rsidRPr="00026EF7">
        <w:rPr>
          <w:rFonts w:ascii="Palatino Linotype" w:hAnsi="Palatino Linotype"/>
          <w:sz w:val="26"/>
        </w:rPr>
        <w:t xml:space="preserve"> 2, no. 4 (2024).</w:t>
      </w:r>
    </w:p>
    <w:p w14:paraId="7B9C407B" w14:textId="77777777" w:rsidR="000F1F54" w:rsidRPr="00026EF7" w:rsidRDefault="000F1F54" w:rsidP="00F330DA">
      <w:pPr>
        <w:pStyle w:val="Bibliography"/>
        <w:spacing w:line="276" w:lineRule="auto"/>
        <w:jc w:val="both"/>
        <w:rPr>
          <w:rFonts w:ascii="Palatino Linotype" w:hAnsi="Palatino Linotype"/>
          <w:sz w:val="26"/>
        </w:rPr>
      </w:pPr>
      <w:r w:rsidRPr="00026EF7">
        <w:rPr>
          <w:rFonts w:ascii="Palatino Linotype" w:hAnsi="Palatino Linotype"/>
          <w:sz w:val="26"/>
        </w:rPr>
        <w:t xml:space="preserve">Irsan, Muhammad. </w:t>
      </w:r>
      <w:r w:rsidRPr="00026EF7">
        <w:rPr>
          <w:rFonts w:ascii="Palatino Linotype" w:hAnsi="Palatino Linotype"/>
          <w:i/>
          <w:iCs/>
          <w:sz w:val="26"/>
        </w:rPr>
        <w:t>SEJARAH GATT/WTO, ASAS MOST FAVOURED NATION DAN NATIONAL TREATMENT, FORUM PENYELESAIAN SENGKETA DAN PEMBENTUKAN DISPUTE SETTELEMENT BODY</w:t>
      </w:r>
      <w:r w:rsidRPr="00026EF7">
        <w:rPr>
          <w:rFonts w:ascii="Palatino Linotype" w:hAnsi="Palatino Linotype"/>
          <w:sz w:val="26"/>
        </w:rPr>
        <w:t>. n.d.</w:t>
      </w:r>
    </w:p>
    <w:p w14:paraId="3462AC1D" w14:textId="77777777" w:rsidR="000F1F54" w:rsidRPr="00026EF7" w:rsidRDefault="000F1F54" w:rsidP="00F330DA">
      <w:pPr>
        <w:pStyle w:val="Bibliography"/>
        <w:spacing w:line="276" w:lineRule="auto"/>
        <w:jc w:val="both"/>
        <w:rPr>
          <w:rFonts w:ascii="Palatino Linotype" w:hAnsi="Palatino Linotype"/>
          <w:sz w:val="26"/>
          <w:lang w:val="pt-BR"/>
        </w:rPr>
      </w:pPr>
      <w:r w:rsidRPr="00026EF7">
        <w:rPr>
          <w:rFonts w:ascii="Palatino Linotype" w:hAnsi="Palatino Linotype"/>
          <w:sz w:val="26"/>
        </w:rPr>
        <w:t xml:space="preserve">M. Raihan Mappuji and Lingga Wisnu Wardana. “Fintech Competition Compliance: Analisis Pelaku Usaha Fintech dalam Menjalankan Program Kepatuhan Persaingan Usaha KPPU.” </w:t>
      </w:r>
      <w:r w:rsidRPr="00026EF7">
        <w:rPr>
          <w:rFonts w:ascii="Palatino Linotype" w:hAnsi="Palatino Linotype"/>
          <w:i/>
          <w:iCs/>
          <w:sz w:val="26"/>
          <w:lang w:val="pt-BR"/>
        </w:rPr>
        <w:t>Jurnal Studia Legalia</w:t>
      </w:r>
      <w:r w:rsidRPr="00026EF7">
        <w:rPr>
          <w:rFonts w:ascii="Palatino Linotype" w:hAnsi="Palatino Linotype"/>
          <w:sz w:val="26"/>
          <w:lang w:val="pt-BR"/>
        </w:rPr>
        <w:t xml:space="preserve"> 4, no. 01 (2023): 43–59. https://doi.org/10.61084/jsl.v4i01.64.</w:t>
      </w:r>
    </w:p>
    <w:p w14:paraId="4871B112" w14:textId="77777777" w:rsidR="000F1F54" w:rsidRPr="00026EF7" w:rsidRDefault="000F1F54" w:rsidP="00F330DA">
      <w:pPr>
        <w:pStyle w:val="Bibliography"/>
        <w:spacing w:line="276" w:lineRule="auto"/>
        <w:jc w:val="both"/>
        <w:rPr>
          <w:rFonts w:ascii="Palatino Linotype" w:hAnsi="Palatino Linotype"/>
          <w:sz w:val="26"/>
          <w:lang w:val="pt-BR"/>
        </w:rPr>
      </w:pPr>
      <w:r w:rsidRPr="00026EF7">
        <w:rPr>
          <w:rFonts w:ascii="Palatino Linotype" w:hAnsi="Palatino Linotype"/>
          <w:sz w:val="26"/>
          <w:lang w:val="pt-BR"/>
        </w:rPr>
        <w:t xml:space="preserve">Mufidah, Nuruz Zakiyatul. “Disharmonisasi Konsep Hukum Dalam Undang-Undang Administrasi Pemerintahan di Indonesia.” </w:t>
      </w:r>
      <w:r w:rsidRPr="00026EF7">
        <w:rPr>
          <w:rFonts w:ascii="Palatino Linotype" w:hAnsi="Palatino Linotype"/>
          <w:i/>
          <w:iCs/>
          <w:sz w:val="26"/>
          <w:lang w:val="pt-BR"/>
        </w:rPr>
        <w:t xml:space="preserve">Politica: Jurnal Hukum </w:t>
      </w:r>
      <w:r w:rsidRPr="00026EF7">
        <w:rPr>
          <w:rFonts w:ascii="Palatino Linotype" w:hAnsi="Palatino Linotype"/>
          <w:i/>
          <w:iCs/>
          <w:sz w:val="26"/>
          <w:lang w:val="pt-BR"/>
        </w:rPr>
        <w:lastRenderedPageBreak/>
        <w:t>Tata Negara dan Politik Islam</w:t>
      </w:r>
      <w:r w:rsidRPr="00026EF7">
        <w:rPr>
          <w:rFonts w:ascii="Palatino Linotype" w:hAnsi="Palatino Linotype"/>
          <w:sz w:val="26"/>
          <w:lang w:val="pt-BR"/>
        </w:rPr>
        <w:t xml:space="preserve"> 11, no. 1 (2024): 77–92. https://doi.org/10.32505/politica.v11i1.8753.</w:t>
      </w:r>
    </w:p>
    <w:p w14:paraId="4CA2E5E4" w14:textId="77777777" w:rsidR="000F1F54" w:rsidRPr="00026EF7" w:rsidRDefault="000F1F54" w:rsidP="00F330DA">
      <w:pPr>
        <w:pStyle w:val="Bibliography"/>
        <w:spacing w:line="276" w:lineRule="auto"/>
        <w:jc w:val="both"/>
        <w:rPr>
          <w:rFonts w:ascii="Palatino Linotype" w:hAnsi="Palatino Linotype"/>
          <w:sz w:val="26"/>
          <w:lang w:val="pt-BR"/>
        </w:rPr>
      </w:pPr>
      <w:r w:rsidRPr="00026EF7">
        <w:rPr>
          <w:rFonts w:ascii="Palatino Linotype" w:hAnsi="Palatino Linotype"/>
          <w:sz w:val="26"/>
        </w:rPr>
        <w:t xml:space="preserve">Saragih, Geofani Milthree, Ade Sathya Sanathana Ishwara, and Rengga Kusuma Putra. “Evaluation of the Implementation of Pancasila Values and Human Rights Enforcement in Indonesian Judicial System Through Constitutional Approach.” </w:t>
      </w:r>
      <w:r w:rsidRPr="00026EF7">
        <w:rPr>
          <w:rFonts w:ascii="Palatino Linotype" w:hAnsi="Palatino Linotype"/>
          <w:i/>
          <w:iCs/>
          <w:sz w:val="26"/>
          <w:lang w:val="pt-BR"/>
        </w:rPr>
        <w:t>Reformasi Hukum</w:t>
      </w:r>
      <w:r w:rsidRPr="00026EF7">
        <w:rPr>
          <w:rFonts w:ascii="Palatino Linotype" w:hAnsi="Palatino Linotype"/>
          <w:sz w:val="26"/>
          <w:lang w:val="pt-BR"/>
        </w:rPr>
        <w:t xml:space="preserve"> 28, no. 3 (2024): 202–17. https://doi.org/10.46257/jrh.v28i3.1082.</w:t>
      </w:r>
    </w:p>
    <w:p w14:paraId="6E9D2C0A" w14:textId="64D13A16" w:rsidR="00E05F93" w:rsidRPr="00026EF7" w:rsidRDefault="00546C36" w:rsidP="00F330DA">
      <w:pPr>
        <w:pStyle w:val="Bibliography"/>
        <w:spacing w:line="276" w:lineRule="auto"/>
        <w:jc w:val="both"/>
        <w:rPr>
          <w:rFonts w:ascii="Palatino Linotype" w:hAnsi="Palatino Linotype" w:cs="Calibri"/>
          <w:sz w:val="26"/>
          <w:lang w:val="pt-BR"/>
        </w:rPr>
      </w:pPr>
      <w:r w:rsidRPr="00026EF7">
        <w:rPr>
          <w:rFonts w:ascii="Palatino Linotype" w:hAnsi="Palatino Linotype" w:cs="Calibri"/>
          <w:sz w:val="26"/>
        </w:rPr>
        <w:fldChar w:fldCharType="end"/>
      </w:r>
      <w:r w:rsidR="00026EF7" w:rsidRPr="00026EF7">
        <w:rPr>
          <w:lang w:val="pt-BR"/>
        </w:rPr>
        <w:t xml:space="preserve"> </w:t>
      </w:r>
      <w:r w:rsidR="00026EF7" w:rsidRPr="00026EF7">
        <w:rPr>
          <w:rFonts w:ascii="Palatino Linotype" w:hAnsi="Palatino Linotype" w:cs="Calibri"/>
          <w:sz w:val="26"/>
          <w:lang w:val="pt-BR"/>
        </w:rPr>
        <w:t xml:space="preserve">Sirait, Ningrum Natasya. </w:t>
      </w:r>
      <w:r w:rsidR="00026EF7" w:rsidRPr="00026EF7">
        <w:rPr>
          <w:rFonts w:ascii="Palatino Linotype" w:hAnsi="Palatino Linotype" w:cs="Calibri"/>
          <w:sz w:val="26"/>
        </w:rPr>
        <w:t xml:space="preserve">“Monopoli </w:t>
      </w:r>
      <w:proofErr w:type="spellStart"/>
      <w:r w:rsidR="00026EF7" w:rsidRPr="00026EF7">
        <w:rPr>
          <w:rFonts w:ascii="Palatino Linotype" w:hAnsi="Palatino Linotype" w:cs="Calibri"/>
          <w:sz w:val="26"/>
        </w:rPr>
        <w:t>Kewenangan</w:t>
      </w:r>
      <w:proofErr w:type="spellEnd"/>
      <w:r w:rsidR="00026EF7" w:rsidRPr="00026EF7">
        <w:rPr>
          <w:rFonts w:ascii="Palatino Linotype" w:hAnsi="Palatino Linotype" w:cs="Calibri"/>
          <w:sz w:val="26"/>
        </w:rPr>
        <w:t xml:space="preserve"> </w:t>
      </w:r>
      <w:proofErr w:type="spellStart"/>
      <w:r w:rsidR="00026EF7" w:rsidRPr="00026EF7">
        <w:rPr>
          <w:rFonts w:ascii="Palatino Linotype" w:hAnsi="Palatino Linotype" w:cs="Calibri"/>
          <w:sz w:val="26"/>
        </w:rPr>
        <w:t>Presiden</w:t>
      </w:r>
      <w:proofErr w:type="spellEnd"/>
      <w:r w:rsidR="00026EF7" w:rsidRPr="00026EF7">
        <w:rPr>
          <w:rFonts w:ascii="Palatino Linotype" w:hAnsi="Palatino Linotype" w:cs="Calibri"/>
          <w:sz w:val="26"/>
        </w:rPr>
        <w:t xml:space="preserve"> </w:t>
      </w:r>
      <w:proofErr w:type="spellStart"/>
      <w:r w:rsidR="00026EF7" w:rsidRPr="00026EF7">
        <w:rPr>
          <w:rFonts w:ascii="Palatino Linotype" w:hAnsi="Palatino Linotype" w:cs="Calibri"/>
          <w:sz w:val="26"/>
        </w:rPr>
        <w:t>dalam</w:t>
      </w:r>
      <w:proofErr w:type="spellEnd"/>
      <w:r w:rsidR="00026EF7" w:rsidRPr="00026EF7">
        <w:rPr>
          <w:rFonts w:ascii="Palatino Linotype" w:hAnsi="Palatino Linotype" w:cs="Calibri"/>
          <w:sz w:val="26"/>
        </w:rPr>
        <w:t xml:space="preserve"> UU BUMN.” </w:t>
      </w:r>
      <w:proofErr w:type="spellStart"/>
      <w:r w:rsidR="00026EF7" w:rsidRPr="00026EF7">
        <w:rPr>
          <w:rFonts w:ascii="Palatino Linotype" w:hAnsi="Palatino Linotype" w:cs="Calibri"/>
          <w:sz w:val="26"/>
        </w:rPr>
        <w:t>Katadata</w:t>
      </w:r>
      <w:proofErr w:type="spellEnd"/>
      <w:r w:rsidR="00026EF7" w:rsidRPr="00026EF7">
        <w:rPr>
          <w:rFonts w:ascii="Palatino Linotype" w:hAnsi="Palatino Linotype" w:cs="Calibri"/>
          <w:sz w:val="26"/>
        </w:rPr>
        <w:t xml:space="preserve">, April 11, 2025. </w:t>
      </w:r>
      <w:proofErr w:type="spellStart"/>
      <w:r w:rsidR="00026EF7" w:rsidRPr="00026EF7">
        <w:rPr>
          <w:rFonts w:ascii="Palatino Linotype" w:hAnsi="Palatino Linotype" w:cs="Calibri"/>
          <w:sz w:val="26"/>
        </w:rPr>
        <w:t>Diakses</w:t>
      </w:r>
      <w:proofErr w:type="spellEnd"/>
      <w:r w:rsidR="00026EF7" w:rsidRPr="00026EF7">
        <w:rPr>
          <w:rFonts w:ascii="Palatino Linotype" w:hAnsi="Palatino Linotype" w:cs="Calibri"/>
          <w:sz w:val="26"/>
        </w:rPr>
        <w:t xml:space="preserve"> Oktober 13, 2025. https://katadata.co.id/indepth/opini/67f85b75f3100/monopoli-kewenangan-presiden-dalam-uu-bumn</w:t>
      </w:r>
    </w:p>
    <w:p w14:paraId="5CB42496" w14:textId="6A82D3FD" w:rsidR="00F867E1" w:rsidRPr="000F1F54" w:rsidRDefault="00F867E1" w:rsidP="00546C36">
      <w:pPr>
        <w:pStyle w:val="Bibliography"/>
        <w:spacing w:line="276" w:lineRule="auto"/>
        <w:ind w:left="0" w:firstLine="0"/>
        <w:rPr>
          <w:rFonts w:ascii="Palatino Linotype" w:hAnsi="Palatino Linotype"/>
          <w:sz w:val="26"/>
          <w:lang w:val="pt-BR"/>
        </w:rPr>
      </w:pPr>
    </w:p>
    <w:p w14:paraId="65A3032C" w14:textId="40B43A1D" w:rsidR="00E05F93" w:rsidRPr="00026EF7" w:rsidRDefault="00F867E1" w:rsidP="00026EF7">
      <w:pPr>
        <w:pStyle w:val="JEM22aBODYARTIKEL"/>
        <w:spacing w:line="276" w:lineRule="auto"/>
        <w:ind w:left="567" w:hanging="567"/>
        <w:rPr>
          <w:color w:val="17365D" w:themeColor="text2" w:themeShade="BF"/>
          <w:sz w:val="32"/>
          <w:szCs w:val="32"/>
          <w:lang w:val="pt-BR"/>
        </w:rPr>
      </w:pPr>
      <w:r w:rsidRPr="000F1F54">
        <w:rPr>
          <w:color w:val="17365D" w:themeColor="text2" w:themeShade="BF"/>
          <w:sz w:val="32"/>
          <w:szCs w:val="32"/>
          <w:lang w:val="pt-BR"/>
        </w:rPr>
        <w:t>Biografi Penulis</w:t>
      </w:r>
    </w:p>
    <w:p w14:paraId="54685BBC" w14:textId="5861CEBF" w:rsidR="00546C36" w:rsidRPr="000F1F54" w:rsidRDefault="000F1F54" w:rsidP="00546C36">
      <w:pPr>
        <w:pStyle w:val="JEM22aBODYARTIKEL"/>
        <w:spacing w:line="276" w:lineRule="auto"/>
        <w:rPr>
          <w:rFonts w:ascii="Palatino Linotype" w:hAnsi="Palatino Linotype"/>
          <w:sz w:val="26"/>
          <w:szCs w:val="26"/>
          <w:lang w:val="pt-BR"/>
        </w:rPr>
      </w:pPr>
      <w:r w:rsidRPr="000F1F54">
        <w:rPr>
          <w:rFonts w:ascii="Palatino Linotype" w:hAnsi="Palatino Linotype"/>
          <w:b/>
          <w:bCs/>
          <w:sz w:val="26"/>
          <w:szCs w:val="26"/>
          <w:lang w:val="pt-BR"/>
        </w:rPr>
        <w:t>Veronica Tampubolon</w:t>
      </w:r>
      <w:r w:rsidR="00546C36" w:rsidRPr="000F1F54">
        <w:rPr>
          <w:rFonts w:ascii="Palatino Linotype" w:hAnsi="Palatino Linotype"/>
          <w:b/>
          <w:bCs/>
          <w:sz w:val="26"/>
          <w:szCs w:val="26"/>
          <w:lang w:val="pt-BR"/>
        </w:rPr>
        <w:t xml:space="preserve">, </w:t>
      </w:r>
      <w:r>
        <w:rPr>
          <w:rFonts w:ascii="Palatino Linotype" w:hAnsi="Palatino Linotype"/>
          <w:sz w:val="26"/>
          <w:szCs w:val="26"/>
          <w:lang w:val="pt-BR"/>
        </w:rPr>
        <w:t xml:space="preserve">adalah </w:t>
      </w:r>
      <w:r w:rsidR="00026EF7" w:rsidRPr="00026EF7">
        <w:rPr>
          <w:rFonts w:ascii="Palatino Linotype" w:hAnsi="Palatino Linotype"/>
          <w:sz w:val="26"/>
          <w:szCs w:val="26"/>
          <w:lang w:val="pt-BR"/>
        </w:rPr>
        <w:t>Mahasiswa Program Studi Doktor Ilmu Hukum Universitas Sumatera Utara</w:t>
      </w:r>
      <w:r>
        <w:rPr>
          <w:rFonts w:ascii="Palatino Linotype" w:hAnsi="Palatino Linotype"/>
          <w:sz w:val="26"/>
          <w:szCs w:val="26"/>
          <w:lang w:val="pt-BR"/>
        </w:rPr>
        <w:t>.</w:t>
      </w:r>
    </w:p>
    <w:p w14:paraId="42942911" w14:textId="77777777" w:rsidR="00546C36" w:rsidRPr="000F1F54" w:rsidRDefault="00546C36" w:rsidP="00546C36">
      <w:pPr>
        <w:pStyle w:val="JEM22aBODYARTIKEL"/>
        <w:spacing w:line="276" w:lineRule="auto"/>
        <w:rPr>
          <w:rFonts w:ascii="Palatino Linotype" w:hAnsi="Palatino Linotype"/>
          <w:b/>
          <w:bCs/>
          <w:sz w:val="26"/>
          <w:szCs w:val="26"/>
          <w:lang w:val="pt-BR"/>
        </w:rPr>
      </w:pPr>
    </w:p>
    <w:p w14:paraId="3936E90D" w14:textId="77777777" w:rsidR="00F658AE" w:rsidRPr="000F1F54" w:rsidRDefault="00F658AE" w:rsidP="009B0D70">
      <w:pPr>
        <w:spacing w:after="0" w:line="276" w:lineRule="auto"/>
        <w:jc w:val="both"/>
        <w:rPr>
          <w:rFonts w:ascii="Century Schoolbook" w:hAnsi="Century Schoolbook" w:cs="Arial"/>
          <w:b/>
          <w:color w:val="C00000"/>
          <w:sz w:val="28"/>
          <w:szCs w:val="28"/>
          <w:lang w:val="pt-BR"/>
        </w:rPr>
      </w:pPr>
    </w:p>
    <w:p w14:paraId="191BE403" w14:textId="77777777" w:rsidR="00F658AE" w:rsidRPr="000F1F54" w:rsidRDefault="00F658AE" w:rsidP="009B0D70">
      <w:pPr>
        <w:pStyle w:val="JEM22aBODYARTIKEL"/>
        <w:spacing w:line="276" w:lineRule="auto"/>
        <w:rPr>
          <w:rFonts w:ascii="Palatino Linotype" w:hAnsi="Palatino Linotype" w:cs="Times New Roman"/>
          <w:sz w:val="22"/>
          <w:szCs w:val="22"/>
          <w:lang w:val="pt-BR" w:eastAsia="en-ID"/>
        </w:rPr>
      </w:pPr>
    </w:p>
    <w:p w14:paraId="61246B89" w14:textId="5613E436" w:rsidR="00630E79" w:rsidRPr="000F1F54" w:rsidRDefault="00630E79" w:rsidP="009B0D70">
      <w:pPr>
        <w:widowControl w:val="0"/>
        <w:autoSpaceDE w:val="0"/>
        <w:autoSpaceDN w:val="0"/>
        <w:adjustRightInd w:val="0"/>
        <w:spacing w:after="0" w:line="276" w:lineRule="auto"/>
        <w:ind w:left="480" w:hanging="480"/>
        <w:jc w:val="both"/>
        <w:rPr>
          <w:rFonts w:ascii="Palatino Linotype" w:hAnsi="Palatino Linotype"/>
          <w:sz w:val="26"/>
          <w:szCs w:val="26"/>
          <w:lang w:val="pt-BR"/>
        </w:rPr>
      </w:pPr>
    </w:p>
    <w:sectPr w:rsidR="00630E79" w:rsidRPr="000F1F54">
      <w:head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DF2A" w14:textId="77777777" w:rsidR="00D918A4" w:rsidRDefault="00D918A4">
      <w:pPr>
        <w:spacing w:after="0" w:line="240" w:lineRule="auto"/>
      </w:pPr>
      <w:r>
        <w:separator/>
      </w:r>
    </w:p>
  </w:endnote>
  <w:endnote w:type="continuationSeparator" w:id="0">
    <w:p w14:paraId="03838189" w14:textId="77777777" w:rsidR="00D918A4" w:rsidRDefault="00D9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696333"/>
      <w:docPartObj>
        <w:docPartGallery w:val="Page Numbers (Bottom of Page)"/>
        <w:docPartUnique/>
      </w:docPartObj>
    </w:sdtPr>
    <w:sdtEndPr>
      <w:rPr>
        <w:noProof/>
      </w:rPr>
    </w:sdtEndPr>
    <w:sdtContent>
      <w:p w14:paraId="4CC566F7" w14:textId="72327912" w:rsidR="00495BFB" w:rsidRDefault="00495B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923BD" w14:textId="77777777" w:rsidR="00495BFB" w:rsidRDefault="00495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7CA3" w14:textId="77777777" w:rsidR="00D918A4" w:rsidRDefault="00D918A4">
      <w:pPr>
        <w:spacing w:after="0" w:line="240" w:lineRule="auto"/>
      </w:pPr>
      <w:r>
        <w:separator/>
      </w:r>
    </w:p>
  </w:footnote>
  <w:footnote w:type="continuationSeparator" w:id="0">
    <w:p w14:paraId="74DEC804" w14:textId="77777777" w:rsidR="00D918A4" w:rsidRDefault="00D918A4">
      <w:pPr>
        <w:spacing w:after="0" w:line="240" w:lineRule="auto"/>
      </w:pPr>
      <w:r>
        <w:continuationSeparator/>
      </w:r>
    </w:p>
  </w:footnote>
  <w:footnote w:id="1">
    <w:p w14:paraId="587B8C01" w14:textId="2F20604E" w:rsidR="000F1F54" w:rsidRPr="00026EF7" w:rsidRDefault="000F1F54" w:rsidP="000F1F54">
      <w:pPr>
        <w:pStyle w:val="FootnoteText"/>
        <w:jc w:val="both"/>
        <w:rPr>
          <w:rFonts w:ascii="Palatino Linotype" w:hAnsi="Palatino Linotype"/>
          <w:lang w:val="pt-BR"/>
        </w:rPr>
      </w:pPr>
      <w:r w:rsidRPr="00026EF7">
        <w:rPr>
          <w:rStyle w:val="FootnoteReference"/>
          <w:rFonts w:ascii="Palatino Linotype" w:hAnsi="Palatino Linotype"/>
        </w:rPr>
        <w:footnoteRef/>
      </w:r>
      <w:r w:rsidRPr="00026EF7">
        <w:rPr>
          <w:rFonts w:ascii="Palatino Linotype" w:hAnsi="Palatino Linotype"/>
          <w:lang w:val="pt-BR"/>
        </w:rPr>
        <w:t xml:space="preserve"> </w:t>
      </w:r>
      <w:r w:rsidRPr="00026EF7">
        <w:rPr>
          <w:rFonts w:ascii="Palatino Linotype" w:hAnsi="Palatino Linotype"/>
        </w:rPr>
        <w:fldChar w:fldCharType="begin"/>
      </w:r>
      <w:r w:rsidRPr="00026EF7">
        <w:rPr>
          <w:rFonts w:ascii="Palatino Linotype" w:hAnsi="Palatino Linotype"/>
          <w:lang w:val="pt-BR"/>
        </w:rPr>
        <w:instrText xml:space="preserve"> ADDIN ZOTERO_ITEM CSL_CITATION {"citationID":"IpcxCUPx","properties":{"formattedCitation":"Sagdiyah Fitri Andani Tambunan Agung and Muhammad Irwan Padli Nasution, \\uc0\\u8220{}Perlindungan Hukum Terhadap Data Pribadi Konsumen Dalam Melakukan Transaksi Di E-Commerce,\\uc0\\u8221{} {\\i{}Jurnal Ekonomi Manajemen dan Bisnis (JEMB)} 2, no. 1 (2023): 5\\uc0\\u8211{}7, https://doi.org/10.47233/jemb.v2i1.915.","plainCitation":"Sagdiyah Fitri Andani Tambunan Agung and Muhammad Irwan Padli Nasution, “Perlindungan Hukum Terhadap Data Pribadi Konsumen Dalam Melakukan Transaksi Di E-Commerce,” Jurnal Ekonomi Manajemen dan Bisnis (JEMB) 2, no. 1 (2023): 5–7, https://doi.org/10.47233/jemb.v2i1.915.","noteIndex":1},"citationItems":[{"id":3281,"uris":["http://zotero.org/users/15305905/items/KRSIQRHZ"],"itemData":{"id":3281,"type":"article-journal","abstract":"Penelitian ini membahas tentang perlindungan informasi pribadi pelanggan selama transaksi e-commerce di Indonesia. Banyak sekali perubahan yang terjadi dikarenakan adanya kemajuan teknologi dan informasi dari berbagai bidang, terutama dalam perdagangan online melalui internet atau platform e-commerce. Meskipun e-commerce telah meningkatkan aktivitas ekonomi, isu keamanan data dan privasi telah menjadi perhatian penting dalam konteks ini. Penelitian ini menggunakan pendekatan studi literatur untuk mengumpulkan informasi dari berbagai sumber seperti jurnal, buku, dan bahan relevan lainnya. Temuan penelitian menunjukkan bahwa perlindungan data pribadi pelanggan dalam transaksi e-commerce diatur oleh berbagai peraturan, termasuk ketentuan konstitusi dan keputusan Mahkamah Konstitusi. Dua metode yang diakui untuk melindungi data pribadi adalah melalui langkah-langkah keamanan data fisik dan penerapan regulasi yang mengatur privasi penggunaan data. Regulasi yang mengatur perlindungan data pribadi pelanggan juga termasuk dalam Undang-Undang Informasi dan Transaksi Elektronik (UU ITE) dan Peraturan Pemerintah tentang Transaksi Sistem Elektronik (PP PSTE). Ada beberapa dasar hukum yang telah di sahkan dalam UU untuk memberikan perlindungan dan jaminan kepada para konsumen di Indonesia.","container-title":"Jurnal Ekonomi Manajemen dan Bisnis (JEMB)","DOI":"10.47233/jemb.v2i1.915","ISSN":"2962-9322","issue":"1","journalAbbreviation":"JEMB","language":"id","license":"https://creativecommons.org/licenses/by/4.0","page":"5-7","source":"DOI.org (Crossref)","title":"Perlindungan Hukum Terhadap Data Pribadi Konsumen Dalam Melakukan Transaksi Di E-Commerce","volume":"2","author":[{"family":"Agung","given":"Sagdiyah Fitri Andani Tambunan"},{"family":"Nasution","given":"Muhammad Irwan Padli"}],"issued":{"date-parts":[["2023",7,1]]}}}],"schema":"https://github.com/citation-style-language/schema/raw/master/csl-citation.json"}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cs="Calibri"/>
          <w:lang w:val="pt-BR"/>
        </w:rPr>
        <w:t xml:space="preserve">Sagdiyah Fitri Andani Tambunan Agung and Muhammad Irwan Padli Nasution, “Perlindungan Hukum Terhadap Data Pribadi Konsumen Dalam Melakukan Transaksi Di E-Commerce,” </w:t>
      </w:r>
      <w:r w:rsidRPr="00026EF7">
        <w:rPr>
          <w:rFonts w:ascii="Palatino Linotype" w:hAnsi="Palatino Linotype" w:cs="Calibri"/>
          <w:i/>
          <w:iCs/>
          <w:lang w:val="pt-BR"/>
        </w:rPr>
        <w:t>Jurnal Ekonomi Manajemen dan Bisnis (JEMB)</w:t>
      </w:r>
      <w:r w:rsidRPr="00026EF7">
        <w:rPr>
          <w:rFonts w:ascii="Palatino Linotype" w:hAnsi="Palatino Linotype" w:cs="Calibri"/>
          <w:lang w:val="pt-BR"/>
        </w:rPr>
        <w:t xml:space="preserve"> 2, no. 1 (2023): 5–7, https://doi.org/10.47233/jemb.v2i1.915.</w:t>
      </w:r>
      <w:r w:rsidRPr="00026EF7">
        <w:rPr>
          <w:rFonts w:ascii="Palatino Linotype" w:hAnsi="Palatino Linotype"/>
        </w:rPr>
        <w:fldChar w:fldCharType="end"/>
      </w:r>
    </w:p>
  </w:footnote>
  <w:footnote w:id="2">
    <w:p w14:paraId="16B6ED4A" w14:textId="77777777" w:rsidR="000F1F54" w:rsidRPr="00026EF7" w:rsidRDefault="000F1F54" w:rsidP="000F1F54">
      <w:pPr>
        <w:pStyle w:val="FootnoteText"/>
        <w:jc w:val="both"/>
        <w:rPr>
          <w:rFonts w:ascii="Palatino Linotype" w:hAnsi="Palatino Linotype"/>
        </w:rPr>
      </w:pPr>
      <w:r w:rsidRPr="00026EF7">
        <w:rPr>
          <w:rStyle w:val="FootnoteReference"/>
          <w:rFonts w:ascii="Palatino Linotype" w:hAnsi="Palatino Linotype"/>
        </w:rPr>
        <w:footnoteRef/>
      </w:r>
      <w:r w:rsidRPr="00026EF7">
        <w:rPr>
          <w:rFonts w:ascii="Palatino Linotype" w:hAnsi="Palatino Linotype"/>
        </w:rPr>
        <w:t xml:space="preserve"> </w:t>
      </w:r>
      <w:r w:rsidRPr="00026EF7">
        <w:rPr>
          <w:rFonts w:ascii="Palatino Linotype" w:hAnsi="Palatino Linotype"/>
        </w:rPr>
        <w:fldChar w:fldCharType="begin"/>
      </w:r>
      <w:r w:rsidRPr="00026EF7">
        <w:rPr>
          <w:rFonts w:ascii="Palatino Linotype" w:hAnsi="Palatino Linotype"/>
        </w:rPr>
        <w:instrText xml:space="preserve"> ADDIN ZOTERO_ITEM CSL_CITATION {"citationID":"atbYIsar","properties":{"formattedCitation":"Muhammad Irsan, {\\i{}SEJARAH GATT/WTO, ASAS MOST FAVOURED NATION DAN NATIONAL TREATMENT, FORUM PENYELESAIAN SENGKETA DAN PEMBENTUKAN DISPUTE SETTELEMENT BODY}, n.d.","plainCitation":"Muhammad Irsan, SEJARAH GATT/WTO, ASAS MOST FAVOURED NATION DAN NATIONAL TREATMENT, FORUM PENYELESAIAN SENGKETA DAN PEMBENTUKAN DISPUTE SETTELEMENT BODY, n.d.","noteIndex":2},"citationItems":[{"id":4481,"uris":["http://zotero.org/users/15305905/items/BXSIQJQ4"],"itemData":{"id":4481,"type":"article-journal","language":"id","source":"Zotero","title":"SEJARAH GATT/WTO, ASAS MOST FAVOURED NATION DAN NATIONAL TREATMENT, FORUM PENYELESAIAN SENGKETA DAN PEMBENTUKAN DISPUTE SETTELEMENT BODY","author":[{"family":"Irsan","given":"Muhammad"}]}}],"schema":"https://github.com/citation-style-language/schema/raw/master/csl-citation.json"}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rPr>
        <w:t xml:space="preserve">Muhammad Irsan, </w:t>
      </w:r>
      <w:r w:rsidRPr="00026EF7">
        <w:rPr>
          <w:rFonts w:ascii="Palatino Linotype" w:hAnsi="Palatino Linotype"/>
          <w:i/>
          <w:iCs/>
        </w:rPr>
        <w:t>SEJARAH GATT/WTO, ASAS MOST FAVOURED NATION DAN NATIONAL TREATMENT, FORUM PENYELESAIAN SENGKETA DAN PEMBENTUKAN DISPUTE SETTELEMENT BODY</w:t>
      </w:r>
      <w:r w:rsidRPr="00026EF7">
        <w:rPr>
          <w:rFonts w:ascii="Palatino Linotype" w:hAnsi="Palatino Linotype"/>
        </w:rPr>
        <w:t>, n.d.</w:t>
      </w:r>
      <w:r w:rsidRPr="00026EF7">
        <w:rPr>
          <w:rFonts w:ascii="Palatino Linotype" w:hAnsi="Palatino Linotype"/>
        </w:rPr>
        <w:fldChar w:fldCharType="end"/>
      </w:r>
    </w:p>
  </w:footnote>
  <w:footnote w:id="3">
    <w:p w14:paraId="02B9EB15" w14:textId="11B42321" w:rsidR="000F1F54" w:rsidRPr="00026EF7" w:rsidRDefault="000F1F54" w:rsidP="000F1F54">
      <w:pPr>
        <w:pStyle w:val="FootnoteText"/>
        <w:jc w:val="both"/>
        <w:rPr>
          <w:rFonts w:ascii="Palatino Linotype" w:hAnsi="Palatino Linotype"/>
        </w:rPr>
      </w:pPr>
      <w:r w:rsidRPr="00026EF7">
        <w:rPr>
          <w:rStyle w:val="FootnoteReference"/>
          <w:rFonts w:ascii="Palatino Linotype" w:hAnsi="Palatino Linotype"/>
        </w:rPr>
        <w:footnoteRef/>
      </w:r>
      <w:r w:rsidRPr="00026EF7">
        <w:rPr>
          <w:rFonts w:ascii="Palatino Linotype" w:hAnsi="Palatino Linotype"/>
        </w:rPr>
        <w:t xml:space="preserve"> </w:t>
      </w:r>
      <w:r w:rsidRPr="00026EF7">
        <w:rPr>
          <w:rFonts w:ascii="Palatino Linotype" w:hAnsi="Palatino Linotype"/>
        </w:rPr>
        <w:fldChar w:fldCharType="begin"/>
      </w:r>
      <w:r w:rsidRPr="00026EF7">
        <w:rPr>
          <w:rFonts w:ascii="Palatino Linotype" w:hAnsi="Palatino Linotype"/>
        </w:rPr>
        <w:instrText xml:space="preserve"> ADDIN ZOTERO_ITEM CSL_CITATION {"citationID":"W3I8gxKQ","properties":{"formattedCitation":"Faizal Adi Surya, \\uc0\\u8220{}PLURALISME HUKUM DALAM PERSPEKTIF PANCASILA TANTANGAN DALAM ERA GLOBALISASI,\\uc0\\u8221{} {\\i{}Indonesian Journal of Legality of Law} 6, no. 1 (2023): 207\\uc0\\u8211{}12, https://doi.org/10.35965/ijlf.v6i1.3931.","plainCitation":"Faizal Adi Surya, “PLURALISME HUKUM DALAM PERSPEKTIF PANCASILA TANTANGAN DALAM ERA GLOBALISASI,” Indonesian Journal of Legality of Law 6, no. 1 (2023): 207–12, https://doi.org/10.35965/ijlf.v6i1.3931.","noteIndex":3},"citationItems":[{"id":575,"uris":["http://zotero.org/users/15305905/items/CTTLTK7N"],"itemData":{"id":575,"type":"article-journal","abstract":"This paper aimed to analyze the idea of legal pluralism in the context of Globalization. In order to achieve such goal, this paper utilized a conceptual analysis method with reference on qualitative data to reflect the dialogue between global values and Pancasila influence the understanding of legal Pluralism. The research found that first, legal Pluralism is a suitable model to be applied in Indonesia, second, it needs to be redefined in a global context by looking further at the relationship between globalization and capitalism which can threaten local values. Third, there is a need for elaboration of Pancasila values, especially 'Kemanusiaan Yang adil Dan Beradab' with the concept of legal pluralism. This elaboration produces three principles in legal pluralism; the principle of humanity, the principle of selectiveness and the principle of equality.","container-title":"Indonesian Journal of Legality of Law","DOI":"10.35965/ijlf.v6i1.3931","ISSN":"2477-197X","issue":"1","journalAbbreviation":"ijlf","language":"id","license":"https://creativecommons.org/licenses/by/4.0","page":"207-212","source":"DOI.org (Crossref)","title":"PLURALISME HUKUM DALAM PERSPEKTIF PANCASILA TANTANGAN DALAM ERA GLOBALISASI","volume":"6","author":[{"family":"Adi Surya","given":"Faizal"}],"issued":{"date-parts":[["2023",12,5]]}}}],"schema":"https://github.com/citation-style-language/schema/raw/master/csl-citation.json"}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cs="Calibri"/>
        </w:rPr>
        <w:t xml:space="preserve">Faizal Adi Surya, “PLURALISME HUKUM DALAM PERSPEKTIF PANCASILA TANTANGAN DALAM ERA GLOBALISASI,” </w:t>
      </w:r>
      <w:r w:rsidRPr="00026EF7">
        <w:rPr>
          <w:rFonts w:ascii="Palatino Linotype" w:hAnsi="Palatino Linotype" w:cs="Calibri"/>
          <w:i/>
          <w:iCs/>
        </w:rPr>
        <w:t>Indonesian Journal of Legality of Law</w:t>
      </w:r>
      <w:r w:rsidRPr="00026EF7">
        <w:rPr>
          <w:rFonts w:ascii="Palatino Linotype" w:hAnsi="Palatino Linotype" w:cs="Calibri"/>
        </w:rPr>
        <w:t xml:space="preserve"> 6, no. 1 (2023): 207–12, https://doi.org/10.35965/ijlf.v6i1.3931.</w:t>
      </w:r>
      <w:r w:rsidRPr="00026EF7">
        <w:rPr>
          <w:rFonts w:ascii="Palatino Linotype" w:hAnsi="Palatino Linotype"/>
        </w:rPr>
        <w:fldChar w:fldCharType="end"/>
      </w:r>
    </w:p>
  </w:footnote>
  <w:footnote w:id="4">
    <w:p w14:paraId="317C24C6" w14:textId="46FA0B15" w:rsidR="000F1F54" w:rsidRPr="00026EF7" w:rsidRDefault="000F1F54" w:rsidP="000F1F54">
      <w:pPr>
        <w:pStyle w:val="FootnoteText"/>
        <w:jc w:val="both"/>
        <w:rPr>
          <w:rFonts w:ascii="Palatino Linotype" w:hAnsi="Palatino Linotype"/>
        </w:rPr>
      </w:pPr>
      <w:r w:rsidRPr="00026EF7">
        <w:rPr>
          <w:rStyle w:val="FootnoteReference"/>
          <w:rFonts w:ascii="Palatino Linotype" w:hAnsi="Palatino Linotype"/>
        </w:rPr>
        <w:footnoteRef/>
      </w:r>
      <w:r w:rsidRPr="00026EF7">
        <w:rPr>
          <w:rFonts w:ascii="Palatino Linotype" w:hAnsi="Palatino Linotype"/>
        </w:rPr>
        <w:t xml:space="preserve"> </w:t>
      </w:r>
      <w:r w:rsidRPr="00026EF7">
        <w:rPr>
          <w:rFonts w:ascii="Palatino Linotype" w:hAnsi="Palatino Linotype"/>
        </w:rPr>
        <w:fldChar w:fldCharType="begin"/>
      </w:r>
      <w:r w:rsidRPr="00026EF7">
        <w:rPr>
          <w:rFonts w:ascii="Palatino Linotype" w:hAnsi="Palatino Linotype"/>
        </w:rPr>
        <w:instrText xml:space="preserve"> ADDIN ZOTERO_ITEM CSL_CITATION {"citationID":"cDSmEMpo","properties":{"formattedCitation":"Ivan Krisna Aji and Gusganda Suria Manda, \\uc0\\u8220{}Pengaruh Risiko Kredit Dan Risiko Likuiditas Terhadap Profitabilitas Pada Bank BUMN,\\uc0\\u8221{} {\\i{}JAD\\uc0\\u8239{}: Jurnal Riset Akuntansi &amp; Keuangan Dewantara} 4, no. 1 (1970): 36\\uc0\\u8211{}45, https://doi.org/10.26533/jad.v4i1.748.","plainCitation":"Ivan Krisna Aji and Gusganda Suria Manda, “Pengaruh Risiko Kredit Dan Risiko Likuiditas Terhadap Profitabilitas Pada Bank BUMN,” JAD</w:instrText>
      </w:r>
      <w:r w:rsidRPr="00026EF7">
        <w:rPr>
          <w:rFonts w:ascii="Times New Roman" w:hAnsi="Times New Roman" w:cs="Times New Roman"/>
        </w:rPr>
        <w:instrText> </w:instrText>
      </w:r>
      <w:r w:rsidRPr="00026EF7">
        <w:rPr>
          <w:rFonts w:ascii="Palatino Linotype" w:hAnsi="Palatino Linotype"/>
        </w:rPr>
        <w:instrText>: Jurnal Riset Akuntansi &amp; Keuangan Dewantara 4, no. 1 (1970): 36</w:instrText>
      </w:r>
      <w:r w:rsidRPr="00026EF7">
        <w:rPr>
          <w:rFonts w:ascii="Palatino Linotype" w:hAnsi="Palatino Linotype" w:cs="Palatino Linotype"/>
        </w:rPr>
        <w:instrText>–</w:instrText>
      </w:r>
      <w:r w:rsidRPr="00026EF7">
        <w:rPr>
          <w:rFonts w:ascii="Palatino Linotype" w:hAnsi="Palatino Linotype"/>
        </w:rPr>
        <w:instrText xml:space="preserve">45, https://doi.org/10.26533/jad.v4i1.748.","noteIndex":4},"citationItems":[{"id":4769,"uris":["http://zotero.org/users/15305905/items/ULU4EUNU"],"itemData":{"id":4769,"type":"article-journal","abstract":"Banks in carrying out their operations are certainly not free from various kinds of risks. Bank business risk is the uncertainty regarding an outcome that is expected or expected to be received. Non Performing Loan (NPL) Is a financial ratio related to credit risk. Loan to Deposit Ratio (LDR) is a ratio that measures a Bank's ability to meet its obligations. This study aims to determine the effect of credit risk (NPL), liquidity risk (LDR) partially and simultaneously on profitability as indicated by the ROA (Return to Assets) ratio using multiple linear regression tests for state-owned banks listed on the Indonesia Stock Exchange for the period 2015- 2019. This type of research is descriptive research with secondary data derived from the financial statements of listed BUMN banks and obtained directly from the website on the Indonesia Stock Exchange. This study uses data from 2015-2019 with a sample size of 4 Bumn Banks from a total population of 20 Bumn Banks. The results of this study indicate that; 1) Credit Risk (NPL) simultaneously affects profitability partially; 2) Partially liquidity risk (LDR) has no effect on profitability; and 3) Credit Risk and Liquidity Risk simultaneously affect profitability.","container-title":"JAD : Jurnal Riset Akuntansi &amp; Keuangan Dewantara","DOI":"10.26533/jad.v4i1.748","ISSN":"2654-4369","issue":"1","journalAbbreviation":"JAD","language":"id","page":"36-45","source":"DOI.org (Crossref)","title":"Pengaruh Risiko Kredit Dan Risiko Likuiditas Terhadap Profitabilitas Pada Bank BUMN","volume":"4","author":[{"family":"Aji","given":"Ivan Krisna"},{"family":"Manda","given":"Gusganda Suria"}],"issued":{"date-parts":[["1970",1,1]]}}}],"schema":"https://github.com/citation-style-language/schema/raw/master/csl-citation.json"}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cs="Calibri"/>
        </w:rPr>
        <w:t xml:space="preserve">Ivan Krisna Aji and Gusganda Suria Manda, “Pengaruh Risiko Kredit Dan Risiko Likuiditas Terhadap Profitabilitas Pada Bank BUMN,” </w:t>
      </w:r>
      <w:r w:rsidRPr="00026EF7">
        <w:rPr>
          <w:rFonts w:ascii="Palatino Linotype" w:hAnsi="Palatino Linotype" w:cs="Calibri"/>
          <w:i/>
          <w:iCs/>
        </w:rPr>
        <w:t>JAD</w:t>
      </w:r>
      <w:r w:rsidRPr="00026EF7">
        <w:rPr>
          <w:rFonts w:ascii="Times New Roman" w:hAnsi="Times New Roman" w:cs="Times New Roman"/>
          <w:i/>
          <w:iCs/>
        </w:rPr>
        <w:t> </w:t>
      </w:r>
      <w:r w:rsidRPr="00026EF7">
        <w:rPr>
          <w:rFonts w:ascii="Palatino Linotype" w:hAnsi="Palatino Linotype" w:cs="Calibri"/>
          <w:i/>
          <w:iCs/>
        </w:rPr>
        <w:t>: Jurnal Riset Akuntansi &amp; Keuangan Dewantara</w:t>
      </w:r>
      <w:r w:rsidRPr="00026EF7">
        <w:rPr>
          <w:rFonts w:ascii="Palatino Linotype" w:hAnsi="Palatino Linotype" w:cs="Calibri"/>
        </w:rPr>
        <w:t xml:space="preserve"> 4, no. 1 (1970): 36–45, https://doi.org/10.26533/jad.v4i1.748.</w:t>
      </w:r>
      <w:r w:rsidRPr="00026EF7">
        <w:rPr>
          <w:rFonts w:ascii="Palatino Linotype" w:hAnsi="Palatino Linotype"/>
        </w:rPr>
        <w:fldChar w:fldCharType="end"/>
      </w:r>
    </w:p>
  </w:footnote>
  <w:footnote w:id="5">
    <w:p w14:paraId="029B96DA" w14:textId="67454E40" w:rsidR="000F1F54" w:rsidRPr="00026EF7" w:rsidRDefault="000F1F54" w:rsidP="000F1F54">
      <w:pPr>
        <w:pStyle w:val="FootnoteText"/>
        <w:jc w:val="both"/>
        <w:rPr>
          <w:rFonts w:ascii="Palatino Linotype" w:hAnsi="Palatino Linotype"/>
        </w:rPr>
      </w:pPr>
      <w:r w:rsidRPr="00026EF7">
        <w:rPr>
          <w:rStyle w:val="FootnoteReference"/>
          <w:rFonts w:ascii="Palatino Linotype" w:hAnsi="Palatino Linotype"/>
        </w:rPr>
        <w:footnoteRef/>
      </w:r>
      <w:r w:rsidRPr="00026EF7">
        <w:rPr>
          <w:rFonts w:ascii="Palatino Linotype" w:hAnsi="Palatino Linotype"/>
        </w:rPr>
        <w:t xml:space="preserve"> </w:t>
      </w:r>
      <w:r w:rsidRPr="00026EF7">
        <w:rPr>
          <w:rFonts w:ascii="Palatino Linotype" w:hAnsi="Palatino Linotype"/>
        </w:rPr>
        <w:fldChar w:fldCharType="begin"/>
      </w:r>
      <w:r w:rsidRPr="00026EF7">
        <w:rPr>
          <w:rFonts w:ascii="Palatino Linotype" w:hAnsi="Palatino Linotype"/>
        </w:rPr>
        <w:instrText xml:space="preserve"> ADDIN ZOTERO_ITEM CSL_CITATION {"citationID":"B0VW84lR","properties":{"formattedCitation":"Milenisha Andani et al., \\uc0\\u8220{}Analisis Penerapan Asas-asas Good Corporate Governance Pada Badan Usaha Milik Negara (BUMN) Di Indonesia,\\uc0\\u8221{} {\\i{}Prosiding Seminar Nasional Ilmu Sosial &amp; Teknologi (SNISTEK)} 6 (2024).","plainCitation":"Milenisha Andani et al., “Analisis Penerapan Asas-asas Good Corporate Governance Pada Badan Usaha Milik Negara (BUMN) Di Indonesia,” Prosiding Seminar Nasional Ilmu Sosial &amp; Teknologi (SNISTEK) 6 (2024).","noteIndex":5},"citationItems":[{"id":4754,"uris":["http://zotero.org/users/15305905/items/N79K59EV"],"itemData":{"id":4754,"type":"article-journal","abstract":"Good Corporate Governance or GCG is one of the pillars of the market economy system, because it is closely related to trust in a company in running a business climate in a country. The implementation of GCG is believed to be able to provide strategic participation in advancing community welfare, produce a healthy business climate, maximize competitiveness in business, and is very useful in avoiding various existing irregularities. Therefore, the implementation of GCG or Good Corporate Governance is expected to be able to maximize stability and prolonged economic growth, and it is also hoped that it can support the efforts made by the government in strengthening governance in general. This study uses a descriptive method which is used in solving problems through an analysis process regarding the application of good corporate governance principles in state-owned enterprises in Indonesia.","container-title":"Prosiding Seminar Nasional Ilmu Sosial &amp; Teknologi (SNISTEK)","language":"id","source":"Zotero","title":"Analisis Penerapan Asas-asas Good Corporate Governance Pada Badan Usaha Milik Negara (BUMN) Di Indonesia","volume":"6","author":[{"family":"Andani","given":"Milenisha"},{"family":"Lodan","given":"Karol Teovani"},{"family":"Khairina","given":"Etika"}],"issued":{"date-parts":[["2024"]]}}}],"schema":"https://github.com/citation-style-language/schema/raw/master/csl-citation.json"}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cs="Calibri"/>
        </w:rPr>
        <w:t xml:space="preserve">Milenisha Andani et al., “Analisis Penerapan Asas-asas Good Corporate Governance Pada Badan Usaha Milik Negara (BUMN) Di Indonesia,” </w:t>
      </w:r>
      <w:r w:rsidRPr="00026EF7">
        <w:rPr>
          <w:rFonts w:ascii="Palatino Linotype" w:hAnsi="Palatino Linotype" w:cs="Calibri"/>
          <w:i/>
          <w:iCs/>
        </w:rPr>
        <w:t>Prosiding Seminar Nasional Ilmu Sosial &amp; Teknologi (SNISTEK)</w:t>
      </w:r>
      <w:r w:rsidRPr="00026EF7">
        <w:rPr>
          <w:rFonts w:ascii="Palatino Linotype" w:hAnsi="Palatino Linotype" w:cs="Calibri"/>
        </w:rPr>
        <w:t xml:space="preserve"> 6 (2024).</w:t>
      </w:r>
      <w:r w:rsidRPr="00026EF7">
        <w:rPr>
          <w:rFonts w:ascii="Palatino Linotype" w:hAnsi="Palatino Linotype"/>
        </w:rPr>
        <w:fldChar w:fldCharType="end"/>
      </w:r>
    </w:p>
  </w:footnote>
  <w:footnote w:id="6">
    <w:p w14:paraId="25F6E849" w14:textId="70E2F4CE" w:rsidR="000F1F54" w:rsidRPr="00026EF7" w:rsidRDefault="000F1F54" w:rsidP="000F1F54">
      <w:pPr>
        <w:pStyle w:val="FootnoteText"/>
        <w:jc w:val="both"/>
        <w:rPr>
          <w:rFonts w:ascii="Palatino Linotype" w:hAnsi="Palatino Linotype"/>
        </w:rPr>
      </w:pPr>
      <w:r w:rsidRPr="00026EF7">
        <w:rPr>
          <w:rStyle w:val="FootnoteReference"/>
          <w:rFonts w:ascii="Palatino Linotype" w:hAnsi="Palatino Linotype"/>
        </w:rPr>
        <w:footnoteRef/>
      </w:r>
      <w:r w:rsidRPr="00026EF7">
        <w:rPr>
          <w:rFonts w:ascii="Palatino Linotype" w:hAnsi="Palatino Linotype"/>
        </w:rPr>
        <w:t xml:space="preserve"> </w:t>
      </w:r>
      <w:r w:rsidRPr="00026EF7">
        <w:rPr>
          <w:rFonts w:ascii="Palatino Linotype" w:hAnsi="Palatino Linotype"/>
        </w:rPr>
        <w:fldChar w:fldCharType="begin"/>
      </w:r>
      <w:r w:rsidRPr="00026EF7">
        <w:rPr>
          <w:rFonts w:ascii="Palatino Linotype" w:hAnsi="Palatino Linotype"/>
        </w:rPr>
        <w:instrText xml:space="preserve"> ADDIN ZOTERO_ITEM CSL_CITATION {"citationID":"tLCxjZRI","properties":{"formattedCitation":"Beida Almira Herlianti et al., \\uc0\\u8220{}Melihat Praktek Penjualan Senjata Api Melalui Darkweb: A Systematic Literature Review,\\uc0\\u8221{} {\\i{}Jurnal Ekobis\\uc0\\u8239{}: Ekonomi Bisnis &amp; Manajemen} 13, no. 1 (2023): 104\\uc0\\u8211{}14, https://doi.org/10.37932/j.e.v13i1.702.","plainCitation":"Beida Almira Herlianti et al., “Melihat Praktek Penjualan Senjata Api Melalui Darkweb: A Systematic Literature Review,” Jurnal Ekobis</w:instrText>
      </w:r>
      <w:r w:rsidRPr="00026EF7">
        <w:rPr>
          <w:rFonts w:ascii="Times New Roman" w:hAnsi="Times New Roman" w:cs="Times New Roman"/>
        </w:rPr>
        <w:instrText> </w:instrText>
      </w:r>
      <w:r w:rsidRPr="00026EF7">
        <w:rPr>
          <w:rFonts w:ascii="Palatino Linotype" w:hAnsi="Palatino Linotype"/>
        </w:rPr>
        <w:instrText>: Ekonomi Bisnis &amp; Manajemen 13, no. 1 (2023): 104</w:instrText>
      </w:r>
      <w:r w:rsidRPr="00026EF7">
        <w:rPr>
          <w:rFonts w:ascii="Palatino Linotype" w:hAnsi="Palatino Linotype" w:cs="Palatino Linotype"/>
        </w:rPr>
        <w:instrText>–</w:instrText>
      </w:r>
      <w:r w:rsidRPr="00026EF7">
        <w:rPr>
          <w:rFonts w:ascii="Palatino Linotype" w:hAnsi="Palatino Linotype"/>
        </w:rPr>
        <w:instrText xml:space="preserve">14, https://doi.org/10.37932/j.e.v13i1.702.","noteIndex":6},"citationItems":[{"id":4832,"uris":["http://zotero.org/users/15305905/items/R37PDE7G"],"itemData":{"id":4832,"type":"article-journal","abstract":"Penelitian ini dilakukan dengan tujuan untuk mengetahui lebih lanjut mengenai praktik dan produk dari penjualan senjata api secara ilegal melalui darkweb yang bisa saja nantinya digunakan sebagai penegak hukum untuk menutup situs tersebut, serta memberikan wawasan mengenai perdagangan senjata ilegal di darkweb. Metode penelitian yang digunakan dalam penelitian ini adalah Systematic literature system dengan menggunakan 178 artikel ilmiah yang bersumber dari database scopus dan menggunakan aplikasi Vosviewer. Hasil penelitian ini menunjukkan bahwa masih belum banyak penelitian yang membahas mengenai penjualan senjata api melalui darkweb karena kurangnya penelitian terdahulu, cukup banyak toko-toko yang menjual berbagai barang-barang berupa senjata api, obat-obatan terlarang, dan macam-macam barang lainnya melalui situs darkweb. Penjual senjata melalui darkweb beberapa memberikan detail secara rinci dan jelas mengenai senjata yang dijual, bahkan juga memberi jaminan bahwa barang yang dipesan akan tiba tanpa adanya kecurigaan dari pihak Bea Cukai. Hasil penelitian ini berkontribusi perkembangan ilmu Hubungan Internasional dengan fokus terhadap penjualan senjata api melalui darkweb. Keterbatasan artikel ini adalah artikel yang digunakan hanya bersumber dari database scopus, sehingga temuan penelitian tidak dapat menggambarkan secara komprehensif tentang penjualan senjata api secara ilegal dan juga pendalaman mengenai darkweb. Penelitian berikutnya perlu menggunakan artikel-artikel ilmiah yang bersumber dari database bereputasi lainnya.","container-title":"Jurnal Ekobis : Ekonomi Bisnis &amp; Manajemen","DOI":"10.37932/j.e.v13i1.702","ISSN":"2088-219X","issue":"1","journalAbbreviation":"Ekobis","language":"id","license":"https://creativecommons.org/licenses/by-sa/4.0","page":"104-114","source":"DOI.org (Crossref)","title":"Melihat Praktek Penjualan Senjata Api Melalui Darkweb: A Systematic Literature Review","title-short":"MELIHAT PRAKTEK PENJUALAN SENJATA API MELALUI DARKAWEB","volume":"13","author":[{"family":"Herlianti","given":"Beida Almira"},{"family":"Salahudin","given":"Salahudin"},{"family":"Syamsulrizal","given":"Syamsulrizal"},{"family":"Prakoso","given":"Havidz Ageng"}],"issued":{"date-parts":[["2023",4,1]]}}}],"schema":"https://github.com/citation-style-language/schema/raw/master/csl-citation.json"}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cs="Calibri"/>
        </w:rPr>
        <w:t xml:space="preserve">Beida Almira Herlianti et al., “Melihat Praktek Penjualan Senjata Api Melalui Darkweb: A Systematic Literature Review,” </w:t>
      </w:r>
      <w:r w:rsidRPr="00026EF7">
        <w:rPr>
          <w:rFonts w:ascii="Palatino Linotype" w:hAnsi="Palatino Linotype" w:cs="Calibri"/>
          <w:i/>
          <w:iCs/>
        </w:rPr>
        <w:t>Jurnal Ekobis</w:t>
      </w:r>
      <w:r w:rsidRPr="00026EF7">
        <w:rPr>
          <w:rFonts w:ascii="Times New Roman" w:hAnsi="Times New Roman" w:cs="Times New Roman"/>
          <w:i/>
          <w:iCs/>
        </w:rPr>
        <w:t> </w:t>
      </w:r>
      <w:r w:rsidRPr="00026EF7">
        <w:rPr>
          <w:rFonts w:ascii="Palatino Linotype" w:hAnsi="Palatino Linotype" w:cs="Calibri"/>
          <w:i/>
          <w:iCs/>
        </w:rPr>
        <w:t>: Ekonomi Bisnis &amp; Manajemen</w:t>
      </w:r>
      <w:r w:rsidRPr="00026EF7">
        <w:rPr>
          <w:rFonts w:ascii="Palatino Linotype" w:hAnsi="Palatino Linotype" w:cs="Calibri"/>
        </w:rPr>
        <w:t xml:space="preserve"> 13, no. 1 (2023): 104–14, https://doi.org/10.37932/j.e.v13i1.702.</w:t>
      </w:r>
      <w:r w:rsidRPr="00026EF7">
        <w:rPr>
          <w:rFonts w:ascii="Palatino Linotype" w:hAnsi="Palatino Linotype"/>
        </w:rPr>
        <w:fldChar w:fldCharType="end"/>
      </w:r>
    </w:p>
  </w:footnote>
  <w:footnote w:id="7">
    <w:p w14:paraId="01CC354F" w14:textId="2E66C7F4" w:rsidR="000F1F54" w:rsidRPr="00026EF7" w:rsidRDefault="000F1F54" w:rsidP="000F1F54">
      <w:pPr>
        <w:pStyle w:val="FootnoteText"/>
        <w:jc w:val="both"/>
        <w:rPr>
          <w:rFonts w:ascii="Palatino Linotype" w:hAnsi="Palatino Linotype"/>
        </w:rPr>
      </w:pPr>
      <w:r w:rsidRPr="00026EF7">
        <w:rPr>
          <w:rStyle w:val="FootnoteReference"/>
          <w:rFonts w:ascii="Palatino Linotype" w:hAnsi="Palatino Linotype"/>
        </w:rPr>
        <w:footnoteRef/>
      </w:r>
      <w:r w:rsidRPr="00026EF7">
        <w:rPr>
          <w:rFonts w:ascii="Palatino Linotype" w:hAnsi="Palatino Linotype"/>
        </w:rPr>
        <w:t xml:space="preserve"> </w:t>
      </w:r>
      <w:r w:rsidRPr="00026EF7">
        <w:rPr>
          <w:rFonts w:ascii="Palatino Linotype" w:hAnsi="Palatino Linotype"/>
        </w:rPr>
        <w:fldChar w:fldCharType="begin"/>
      </w:r>
      <w:r w:rsidRPr="00026EF7">
        <w:rPr>
          <w:rFonts w:ascii="Palatino Linotype" w:hAnsi="Palatino Linotype"/>
        </w:rPr>
        <w:instrText xml:space="preserve"> ADDIN ZOTERO_ITEM CSL_CITATION {"citationID":"tVseE1Pf","properties":{"formattedCitation":"Amiruddin and Zainal Asikin, {\\i{}Pengantar Metode Penelitian Hukum} (Rajawali Press, 2012).","plainCitation":"Amiruddin and Zainal Asikin, Pengantar Metode Penelitian Hukum (Rajawali Press, 2012).","noteIndex":7},"citationItems":[{"id":4865,"uris":["http://zotero.org/users/15305905/items/MVZVABB7"],"itemData":{"id":4865,"type":"book","event-place":"Jakarta","publisher":"Rajawali Press","publisher-place":"Jakarta","title":"Pengantar Metode Penelitian Hukum","author":[{"literal":"Amiruddin"},{"family":"Asikin","given":"Zainal"}],"issued":{"date-parts":[["2012"]]}}}],"schema":"https://github.com/citation-style-language/schema/raw/master/csl-citation.json"}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cs="Calibri"/>
        </w:rPr>
        <w:t xml:space="preserve">Amiruddin and Zainal Asikin, </w:t>
      </w:r>
      <w:r w:rsidRPr="00026EF7">
        <w:rPr>
          <w:rFonts w:ascii="Palatino Linotype" w:hAnsi="Palatino Linotype" w:cs="Calibri"/>
          <w:i/>
          <w:iCs/>
        </w:rPr>
        <w:t>Pengantar Metode Penelitian Hukum</w:t>
      </w:r>
      <w:r w:rsidRPr="00026EF7">
        <w:rPr>
          <w:rFonts w:ascii="Palatino Linotype" w:hAnsi="Palatino Linotype" w:cs="Calibri"/>
        </w:rPr>
        <w:t xml:space="preserve"> (Rajawali Press, 2012).</w:t>
      </w:r>
      <w:r w:rsidRPr="00026EF7">
        <w:rPr>
          <w:rFonts w:ascii="Palatino Linotype" w:hAnsi="Palatino Linotype"/>
        </w:rPr>
        <w:fldChar w:fldCharType="end"/>
      </w:r>
    </w:p>
  </w:footnote>
  <w:footnote w:id="8">
    <w:p w14:paraId="1225D704" w14:textId="6ADD409F" w:rsidR="000F1F54" w:rsidRPr="00026EF7" w:rsidRDefault="000F1F54" w:rsidP="000F1F54">
      <w:pPr>
        <w:pStyle w:val="FootnoteText"/>
        <w:jc w:val="both"/>
        <w:rPr>
          <w:rFonts w:ascii="Palatino Linotype" w:hAnsi="Palatino Linotype"/>
        </w:rPr>
      </w:pPr>
      <w:r w:rsidRPr="00026EF7">
        <w:rPr>
          <w:rStyle w:val="FootnoteReference"/>
          <w:rFonts w:ascii="Palatino Linotype" w:hAnsi="Palatino Linotype"/>
        </w:rPr>
        <w:footnoteRef/>
      </w:r>
      <w:r w:rsidRPr="00026EF7">
        <w:rPr>
          <w:rFonts w:ascii="Palatino Linotype" w:hAnsi="Palatino Linotype"/>
        </w:rPr>
        <w:t xml:space="preserve"> </w:t>
      </w:r>
      <w:r w:rsidRPr="00026EF7">
        <w:rPr>
          <w:rFonts w:ascii="Palatino Linotype" w:hAnsi="Palatino Linotype"/>
        </w:rPr>
        <w:fldChar w:fldCharType="begin"/>
      </w:r>
      <w:r w:rsidRPr="00026EF7">
        <w:rPr>
          <w:rFonts w:ascii="Palatino Linotype" w:hAnsi="Palatino Linotype"/>
        </w:rPr>
        <w:instrText xml:space="preserve"> ADDIN ZOTERO_ITEM CSL_CITATION {"citationID":"2UmKmjKZ","properties":{"formattedCitation":"Nikolaus Rendi Prasetya Hadi et al., \\uc0\\u8220{}Repetisi Dalam Tajuk Rencana Suara Merdeka 1998-2004: Dekonstruksi Bahasa Pers Era Reformasi,\\uc0\\u8221{} {\\i{}Jurnal CULTURE (Culture, Language, and Literature Review)} 8, no. 1 (2021): 31\\uc0\\u8211{}53, https://doi.org/10.53873/culture.v8i1.240.","plainCitation":"Nikolaus Rendi Prasetya Hadi et al., “Repetisi Dalam Tajuk Rencana Suara Merdeka 1998-2004: Dekonstruksi Bahasa Pers Era Reformasi,” Jurnal CULTURE (Culture, Language, and Literature Review) 8, no. 1 (2021): 31–53, https://doi.org/10.53873/culture.v8i1.240.","noteIndex":8},"citationItems":[{"id":730,"uris":["http://zotero.org/users/15305905/items/9Y89WSRJ"],"itemData":{"id":730,"type":"article-journal","abstract":"The focus of the research was to describe repetition in Editorial of Suara Merdeka 1998-2004 edition as the characteristic of the press language in the reform era. This was a qualitative descriptive research. The researchers gathered data by observing from its lexical cohesion aspects and classifying based on its repetition. The result of the data in this study found that press language in reform era presented reliable and transparent information, and on the contrary it shows the big distinction during new order era which was euphemistic. The press presented actual topics and dare to break-through delivering the news which dealt with the press prohibition era at that time.","container-title":"Jurnal CULTURE (Culture, Language, and Literature Review)","DOI":"10.53873/culture.v8i1.240","ISSN":"2775-4618, 2355-8660","issue":"1","journalAbbreviation":"Culture, Languate &amp; Literature Review","language":"id","license":"https://creativecommons.org/licenses/by/4.0","page":"31-53","source":"DOI.org (Crossref)","title":"Repetisi Dalam Tajuk Rencana Suara Merdeka 1998-2004: Dekonstruksi Bahasa Pers Era Reformasi","title-short":"REPETISI DALAM TAJUK RENCANA SUARA MERDEKA 1998-2004","volume":"8","author":[{"family":"Hadi","given":"Nikolaus Rendi Prasetya"},{"family":"Kusumaningrum","given":"Sintaria"},{"family":"Delastyanto","given":"Slavian O"}],"issued":{"date-parts":[["2021",5,1]]}}}],"schema":"https://github.com/citation-style-language/schema/raw/master/csl-citation.json"}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cs="Calibri"/>
        </w:rPr>
        <w:t xml:space="preserve">Nikolaus Rendi Prasetya Hadi et al., “Repetisi Dalam Tajuk Rencana Suara Merdeka 1998-2004: Dekonstruksi Bahasa Pers Era Reformasi,” </w:t>
      </w:r>
      <w:r w:rsidRPr="00026EF7">
        <w:rPr>
          <w:rFonts w:ascii="Palatino Linotype" w:hAnsi="Palatino Linotype" w:cs="Calibri"/>
          <w:i/>
          <w:iCs/>
        </w:rPr>
        <w:t>Jurnal CULTURE (Culture, Language, and Literature Review)</w:t>
      </w:r>
      <w:r w:rsidRPr="00026EF7">
        <w:rPr>
          <w:rFonts w:ascii="Palatino Linotype" w:hAnsi="Palatino Linotype" w:cs="Calibri"/>
        </w:rPr>
        <w:t xml:space="preserve"> 8, no. 1 (2021): 31–53, https://doi.org/10.53873/culture.v8i1.240.</w:t>
      </w:r>
      <w:r w:rsidRPr="00026EF7">
        <w:rPr>
          <w:rFonts w:ascii="Palatino Linotype" w:hAnsi="Palatino Linotype"/>
        </w:rPr>
        <w:fldChar w:fldCharType="end"/>
      </w:r>
    </w:p>
  </w:footnote>
  <w:footnote w:id="9">
    <w:p w14:paraId="50B67A96" w14:textId="06B39BF1" w:rsidR="000F1F54" w:rsidRPr="00026EF7" w:rsidRDefault="000F1F54" w:rsidP="000F1F54">
      <w:pPr>
        <w:pStyle w:val="FootnoteText"/>
        <w:jc w:val="both"/>
        <w:rPr>
          <w:rFonts w:ascii="Palatino Linotype" w:hAnsi="Palatino Linotype"/>
          <w:lang w:val="pt-BR"/>
        </w:rPr>
      </w:pPr>
      <w:r w:rsidRPr="00026EF7">
        <w:rPr>
          <w:rStyle w:val="FootnoteReference"/>
          <w:rFonts w:ascii="Palatino Linotype" w:hAnsi="Palatino Linotype"/>
        </w:rPr>
        <w:footnoteRef/>
      </w:r>
      <w:r w:rsidRPr="00026EF7">
        <w:rPr>
          <w:rFonts w:ascii="Palatino Linotype" w:hAnsi="Palatino Linotype"/>
        </w:rPr>
        <w:t xml:space="preserve"> </w:t>
      </w:r>
      <w:r w:rsidRPr="00026EF7">
        <w:rPr>
          <w:rFonts w:ascii="Palatino Linotype" w:hAnsi="Palatino Linotype"/>
        </w:rPr>
        <w:fldChar w:fldCharType="begin"/>
      </w:r>
      <w:r w:rsidRPr="00026EF7">
        <w:rPr>
          <w:rFonts w:ascii="Palatino Linotype" w:hAnsi="Palatino Linotype"/>
        </w:rPr>
        <w:instrText xml:space="preserve"> ADDIN ZOTERO_ITEM CSL_CITATION {"citationID":"1uRpOGYo","properties":{"formattedCitation":"Elisabeth Nurhaini Butar-Butar, {\\i{}Metode Penelitian Hukum, Langkah-Langkah Untuk Menemukan Kebenaran Dalam Ilmu Hukum} (PT. Refika Aditama, 2018).","plainCitation":"Elisabeth Nurhaini Butar-Butar, Metode Penelitian Hukum, Langkah-Langkah Untuk Menemukan Kebenaran Dalam Ilmu Hukum (PT. Refika Aditama, 2018).","noteIndex":9},"citationItems":[{"id":445,"uris":["http://zotero.org/users/15305905/items/2XQ9BKFU"],"itemData":{"id":445,"type":"book","event-place":"Bandung","publisher":"PT. Refika Aditama","publisher-place":"Bandung","title":"Metode Penelitian Hukum, Langkah-Langkah untuk Menemukan Kebenaran dalam Ilmu Hukum","author":[{"literal":"Elisabeth Nurhaini Butar-Butar"}],"issued":{"date-parts":[["2018"]]}}}],"schema":"https://github.com/citation-style-language/schema/raw/master/csl-citation.json"}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cs="Calibri"/>
        </w:rPr>
        <w:t xml:space="preserve">Elisabeth Nurhaini Butar-Butar, </w:t>
      </w:r>
      <w:r w:rsidRPr="00026EF7">
        <w:rPr>
          <w:rFonts w:ascii="Palatino Linotype" w:hAnsi="Palatino Linotype" w:cs="Calibri"/>
          <w:i/>
          <w:iCs/>
        </w:rPr>
        <w:t>Metode Penelitian Hukum, Langkah-Langkah Untuk Menemukan Kebenaran Dalam Ilmu Hukum</w:t>
      </w:r>
      <w:r w:rsidRPr="00026EF7">
        <w:rPr>
          <w:rFonts w:ascii="Palatino Linotype" w:hAnsi="Palatino Linotype" w:cs="Calibri"/>
        </w:rPr>
        <w:t xml:space="preserve"> (PT. </w:t>
      </w:r>
      <w:r w:rsidRPr="00026EF7">
        <w:rPr>
          <w:rFonts w:ascii="Palatino Linotype" w:hAnsi="Palatino Linotype" w:cs="Calibri"/>
          <w:lang w:val="pt-BR"/>
        </w:rPr>
        <w:t>Refika Aditama, 2018).</w:t>
      </w:r>
      <w:r w:rsidRPr="00026EF7">
        <w:rPr>
          <w:rFonts w:ascii="Palatino Linotype" w:hAnsi="Palatino Linotype"/>
        </w:rPr>
        <w:fldChar w:fldCharType="end"/>
      </w:r>
    </w:p>
  </w:footnote>
  <w:footnote w:id="10">
    <w:p w14:paraId="7F8BE75D" w14:textId="77777777" w:rsidR="000F1F54" w:rsidRPr="00026EF7" w:rsidRDefault="000F1F54" w:rsidP="000F1F54">
      <w:pPr>
        <w:pStyle w:val="FootnoteText"/>
        <w:jc w:val="both"/>
        <w:rPr>
          <w:rFonts w:ascii="Palatino Linotype" w:hAnsi="Palatino Linotype"/>
        </w:rPr>
      </w:pPr>
      <w:r w:rsidRPr="00026EF7">
        <w:rPr>
          <w:rStyle w:val="FootnoteReference"/>
          <w:rFonts w:ascii="Palatino Linotype" w:hAnsi="Palatino Linotype"/>
        </w:rPr>
        <w:footnoteRef/>
      </w:r>
      <w:r w:rsidRPr="00026EF7">
        <w:rPr>
          <w:rFonts w:ascii="Palatino Linotype" w:hAnsi="Palatino Linotype"/>
          <w:lang w:val="pt-BR"/>
        </w:rPr>
        <w:t xml:space="preserve"> </w:t>
      </w:r>
      <w:r w:rsidRPr="00026EF7">
        <w:rPr>
          <w:rFonts w:ascii="Palatino Linotype" w:hAnsi="Palatino Linotype"/>
        </w:rPr>
        <w:fldChar w:fldCharType="begin"/>
      </w:r>
      <w:r w:rsidRPr="00026EF7">
        <w:rPr>
          <w:rFonts w:ascii="Palatino Linotype" w:hAnsi="Palatino Linotype"/>
          <w:lang w:val="pt-BR"/>
        </w:rPr>
        <w:instrText xml:space="preserve"> ADDIN ZOTERO_ITEM CSL_CITATION {"citationID":"Uq7sLK86","properties":{"formattedCitation":"Gloria Angelita and Eko Saksono, \\uc0\\u8220{}The Role of Communication Corporate To Save the Reputation of PT. Garuda Indonesia, Tbk (BUMN Companies Restructure &amp; BJR Implimentation),\\uc0\\u8221{} {\\i{}American Journal of Humanities and Social Sciences Research (AJHSSR)} 7, no. 3 (2023): 64\\uc0\\u8211{}73.","plainCitation":"Gloria Angelita and Eko Saksono, “The Role of Communication Corporate To Save the Reputation of PT. Garuda Indonesia, Tbk (BUMN Companies Restructure &amp; BJR Implimentation),” American Journal of Humanities and Social Sciences Research (AJHSSR) 7, no. 3 (2023): 64–73.","noteIndex":10},"citationItems":[{"id":7007,"uris":["http://zotero.org/users/15305905/items/M6UBUJFH"],"itemData":{"id":7007,"type":"article-journal","abstract":"Reputation is the backbone for every company, the company's vision and mission is built to determine the direction and targets to achieve the sustainability of the company and the reputation/credibility of the business. In its journey, not everything will run smoothly, of course there will always be challenges, even failures that result in corporations having to save and evaluate and reorganize their corporate governance with restructuring so that they perform better and fulfill the company's goals according to the vision and mission. This article is to find out the Role of Corporate Communication of PT Garuda Indonesia Tbk in the Process of Saving Corporate Reputation, by implementing restructuring and implementing the Business Judgment Rule. This research method uses a qualitative approach and the type of research is descriptive. This study aims to determine the role of Corporate Communications PT. Garuda Indonesia, Tbk in Reputation Saving by Restructuring and implementing the Business Judgment Rule (BJR). Data collection method withlibrary research and field work research by conducting direct interviews with informants. Respondents in this study were the Directors and restructuring team of PT Garuda Indonesia and stakeholders: service users, government and investors. The data analysis used is an interactive model, presenting research results showing that Corporate Communication has an important role in the process of saving the reputation of PT Garuda Indonesia Tbk as a state-owned company (State Owned Enterprise), especially through an organizational restructuring. Meanwhile the Business Judgment Rule is a strategy communication tool that is carried out to oversee the financial restructuring process at the Commercial Court.","container-title":"American Journal of Humanities and Social Sciences Research (AJHSSR)","issue":"3","language":"en","page":"64-73","source":"Zotero","title":"The Role of Communication Corporate To Save the Reputation of PT. Garuda Indonesia, Tbk (BUMN Companies Restructure &amp; BJR Implimentation)","volume":"7","author":[{"family":"Angelita","given":"Gloria"},{"family":"Saksono","given":"Eko"}],"issued":{"date-parts":[["2023"]]}}}],"schema":"https://github.com/citation-style-language/schema/raw/master/csl-citation.json"}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lang w:val="pt-BR"/>
        </w:rPr>
        <w:t xml:space="preserve">Gloria </w:t>
      </w:r>
      <w:r w:rsidRPr="00026EF7">
        <w:rPr>
          <w:rFonts w:ascii="Palatino Linotype" w:hAnsi="Palatino Linotype"/>
          <w:lang w:val="pt-BR"/>
        </w:rPr>
        <w:t xml:space="preserve">Angelita and Eko Saksono, “The Role of Communication Corporate To Save the Reputation of PT. </w:t>
      </w:r>
      <w:r w:rsidRPr="00026EF7">
        <w:rPr>
          <w:rFonts w:ascii="Palatino Linotype" w:hAnsi="Palatino Linotype"/>
        </w:rPr>
        <w:t xml:space="preserve">Garuda Indonesia, </w:t>
      </w:r>
      <w:proofErr w:type="spellStart"/>
      <w:r w:rsidRPr="00026EF7">
        <w:rPr>
          <w:rFonts w:ascii="Palatino Linotype" w:hAnsi="Palatino Linotype"/>
        </w:rPr>
        <w:t>Tbk</w:t>
      </w:r>
      <w:proofErr w:type="spellEnd"/>
      <w:r w:rsidRPr="00026EF7">
        <w:rPr>
          <w:rFonts w:ascii="Palatino Linotype" w:hAnsi="Palatino Linotype"/>
        </w:rPr>
        <w:t xml:space="preserve"> (BUMN Companies Restructure &amp; BJR Implimentation),” </w:t>
      </w:r>
      <w:r w:rsidRPr="00026EF7">
        <w:rPr>
          <w:rFonts w:ascii="Palatino Linotype" w:hAnsi="Palatino Linotype"/>
          <w:i/>
          <w:iCs/>
        </w:rPr>
        <w:t>American Journal of Humanities and Social Sciences Research (AJHSSR)</w:t>
      </w:r>
      <w:r w:rsidRPr="00026EF7">
        <w:rPr>
          <w:rFonts w:ascii="Palatino Linotype" w:hAnsi="Palatino Linotype"/>
        </w:rPr>
        <w:t xml:space="preserve"> 7, no. 3 (2023): 64–73.</w:t>
      </w:r>
      <w:r w:rsidRPr="00026EF7">
        <w:rPr>
          <w:rFonts w:ascii="Palatino Linotype" w:hAnsi="Palatino Linotype"/>
        </w:rPr>
        <w:fldChar w:fldCharType="end"/>
      </w:r>
    </w:p>
  </w:footnote>
  <w:footnote w:id="11">
    <w:p w14:paraId="3537CF26" w14:textId="1E2D53E5" w:rsidR="000F1F54" w:rsidRPr="00026EF7" w:rsidRDefault="000F1F54" w:rsidP="000F1F54">
      <w:pPr>
        <w:pStyle w:val="FootnoteText"/>
        <w:jc w:val="both"/>
        <w:rPr>
          <w:rFonts w:ascii="Palatino Linotype" w:hAnsi="Palatino Linotype"/>
          <w:lang w:val="pt-BR"/>
        </w:rPr>
      </w:pPr>
      <w:r w:rsidRPr="00026EF7">
        <w:rPr>
          <w:rStyle w:val="FootnoteReference"/>
          <w:rFonts w:ascii="Palatino Linotype" w:hAnsi="Palatino Linotype"/>
        </w:rPr>
        <w:footnoteRef/>
      </w:r>
      <w:r w:rsidRPr="00026EF7">
        <w:rPr>
          <w:rFonts w:ascii="Palatino Linotype" w:hAnsi="Palatino Linotype"/>
          <w:lang w:val="pt-BR"/>
        </w:rPr>
        <w:t xml:space="preserve"> </w:t>
      </w:r>
      <w:r w:rsidRPr="00026EF7">
        <w:rPr>
          <w:rFonts w:ascii="Palatino Linotype" w:hAnsi="Palatino Linotype"/>
        </w:rPr>
        <w:fldChar w:fldCharType="begin"/>
      </w:r>
      <w:r w:rsidRPr="00026EF7">
        <w:rPr>
          <w:rFonts w:ascii="Palatino Linotype" w:hAnsi="Palatino Linotype"/>
          <w:lang w:val="pt-BR"/>
        </w:rPr>
        <w:instrText xml:space="preserve"> ADDIN ZOTERO_ITEM CSL_CITATION {"citationID":"QjmQZWdN","properties":{"formattedCitation":"M Iqbal Asnawi et al., \\uc0\\u8220{}Danantara Dalam Perspektif Hukum Korporasi: Potensi Problem Tata Kelola dan Celah Pengawasan,\\uc0\\u8221{} {\\i{}Locus: Jurnal Konsep Ilmu Hukum} 5, no. 2 (2025).","plainCitation":"M Iqbal Asnawi et al., “Danantara Dalam Perspektif Hukum Korporasi: Potensi Problem Tata Kelola dan Celah Pengawasan,” Locus: Jurnal Konsep Ilmu Hukum 5, no. 2 (2025).","noteIndex":11},"citationItems":[{"id":8123,"uris":["http://zotero.org/users/15305905/items/2ATIMHKU"],"itemData":{"id":8123,"type":"article-journal","container-title":"Locus: Jurnal Konsep Ilmu Hukum","issue":"2","language":"id","source":"Zotero","title":"Danantara Dalam Perspektif Hukum Korporasi: Potensi Problem Tata Kelola dan Celah Pengawasan","volume":"5","author":[{"family":"Asnawi","given":"M Iqbal"},{"family":"Rokan","given":"Mustika Putra"},{"family":"Rambe","given":"M Irfan Islami"}],"issued":{"date-parts":[["2025"]]}}}],"schema":"https://github.com/citation-style-language/schema/raw/master/csl-citation.json"}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cs="Calibri"/>
          <w:lang w:val="pt-BR"/>
        </w:rPr>
        <w:t xml:space="preserve">M Iqbal Asnawi et al., “Danantara Dalam Perspektif Hukum Korporasi: Potensi Problem Tata Kelola dan Celah Pengawasan,” </w:t>
      </w:r>
      <w:r w:rsidRPr="00026EF7">
        <w:rPr>
          <w:rFonts w:ascii="Palatino Linotype" w:hAnsi="Palatino Linotype" w:cs="Calibri"/>
          <w:i/>
          <w:iCs/>
          <w:lang w:val="pt-BR"/>
        </w:rPr>
        <w:t>Locus: Jurnal Konsep Ilmu Hukum</w:t>
      </w:r>
      <w:r w:rsidRPr="00026EF7">
        <w:rPr>
          <w:rFonts w:ascii="Palatino Linotype" w:hAnsi="Palatino Linotype" w:cs="Calibri"/>
          <w:lang w:val="pt-BR"/>
        </w:rPr>
        <w:t xml:space="preserve"> 5, no. 2 (2025).</w:t>
      </w:r>
      <w:r w:rsidRPr="00026EF7">
        <w:rPr>
          <w:rFonts w:ascii="Palatino Linotype" w:hAnsi="Palatino Linotype"/>
        </w:rPr>
        <w:fldChar w:fldCharType="end"/>
      </w:r>
    </w:p>
  </w:footnote>
  <w:footnote w:id="12">
    <w:p w14:paraId="3912C217" w14:textId="1F39E73A" w:rsidR="000F1F54" w:rsidRPr="00026EF7" w:rsidRDefault="000F1F54" w:rsidP="000F1F54">
      <w:pPr>
        <w:pStyle w:val="FootnoteText"/>
        <w:jc w:val="both"/>
        <w:rPr>
          <w:rFonts w:ascii="Palatino Linotype" w:hAnsi="Palatino Linotype"/>
          <w:lang w:val="pt-BR"/>
        </w:rPr>
      </w:pPr>
      <w:r w:rsidRPr="00026EF7">
        <w:rPr>
          <w:rStyle w:val="FootnoteReference"/>
          <w:rFonts w:ascii="Palatino Linotype" w:hAnsi="Palatino Linotype"/>
        </w:rPr>
        <w:footnoteRef/>
      </w:r>
      <w:r w:rsidRPr="00026EF7">
        <w:rPr>
          <w:rFonts w:ascii="Palatino Linotype" w:hAnsi="Palatino Linotype"/>
          <w:lang w:val="pt-BR"/>
        </w:rPr>
        <w:t xml:space="preserve"> </w:t>
      </w:r>
      <w:r w:rsidRPr="00026EF7">
        <w:rPr>
          <w:rFonts w:ascii="Palatino Linotype" w:hAnsi="Palatino Linotype"/>
        </w:rPr>
        <w:fldChar w:fldCharType="begin"/>
      </w:r>
      <w:r w:rsidRPr="00026EF7">
        <w:rPr>
          <w:rFonts w:ascii="Palatino Linotype" w:hAnsi="Palatino Linotype"/>
          <w:lang w:val="pt-BR"/>
        </w:rPr>
        <w:instrText xml:space="preserve"> ADDIN ZOTERO_ITEM CSL_CITATION {"citationID":"qJHgThI2","properties":{"formattedCitation":"Raden Djuniarsono et al., \\uc0\\u8220{}Privatisasi BUMN Sebagai Pilar Perekonomian Nasional Dalam Perspektif Hukum Bisnis,\\uc0\\u8221{} {\\i{}JURNAL ILMIAH LIVING LAW} 15, no. 1 (2023): 1\\uc0\\u8211{}15, https://doi.org/10.30997/jill.v15i1.7931.","plainCitation":"Raden Djuniarsono et al., “Privatisasi BUMN Sebagai Pilar Perekonomian Nasional Dalam Perspektif Hukum Bisnis,” JURNAL ILMIAH LIVING LAW 15, no. 1 (2023): 1–15, https://doi.org/10.30997/jill.v15i1.7931.","noteIndex":12},"citationItems":[{"id":4730,"uris":["http://zotero.org/users/15305905/items/APGECN9M"],"itemData":{"id":4730,"type":"article-journal","abstract":"Guided by Pancasila and the 1945 Constitution, Indonesia should implement a welfare state with strategic planning for the welfare of the people through state ownership of certain business units that provide the greatest benefit for the welfare of the people by establishing companies that are majority or partially owned by the state, namely BUMN based on Good Corporate Governance (GCG). However, the role of BUMN has not been optimal and has not fulfilled the expectations of Article 33 of the 1945 Constitution and it is necessary to make improvements and arrangements, one of which is through privatization to improve and improve company performance. This research uses the juridical normative approach, namely, the law is conceptualized as norms, rules, principles, or dogmas, with data collection techniques used through library research methods and interviews and using qualitative analysis. Based on the results of the research conducted, there are many obstacles and problems in the application of the privatization method in reforming and structuring BUMN, especially related to separated state assets and the criteria for BUMN that can be privatized. For this reason, serious, systematic, tiered, and strategic efforts are needed in reforming and structuring state-owned companies, especially efforts to improve the performance and value of the company and are carried out by taking into account the legal side of the business and the state constitution.","container-title":"JURNAL ILMIAH LIVING LAW","DOI":"10.30997/jill.v15i1.7931","ISSN":"2550-1208, 2085-8078","issue":"1","journalAbbreviation":"j. ilm. n.a. law.","language":"id","license":"http://creativecommons.org/licenses/by-sa/4.0","page":"1-15","source":"DOI.org (Crossref)","title":"Privatisasi BUMN Sebagai Pilar Perekonomian Nasional Dalam Perspektif Hukum Bisnis","volume":"15","author":[{"family":"Djuniarsono","given":"Raden"},{"family":"Roestamy","given":"Martin"},{"family":"Suhartini","given":"Endeh"}],"issued":{"date-parts":[["2023",1,31]]}}}],"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cs="Calibri"/>
          <w:lang w:val="pt-BR"/>
        </w:rPr>
        <w:t xml:space="preserve">Raden Djuniarsono et al., “Privatisasi BUMN Sebagai Pilar Perekonomian Nasional Dalam Perspektif Hukum Bisnis,” </w:t>
      </w:r>
      <w:r w:rsidRPr="00026EF7">
        <w:rPr>
          <w:rFonts w:ascii="Palatino Linotype" w:hAnsi="Palatino Linotype" w:cs="Calibri"/>
          <w:i/>
          <w:iCs/>
          <w:lang w:val="pt-BR"/>
        </w:rPr>
        <w:t>JURNAL ILMIAH LIVING LAW</w:t>
      </w:r>
      <w:r w:rsidRPr="00026EF7">
        <w:rPr>
          <w:rFonts w:ascii="Palatino Linotype" w:hAnsi="Palatino Linotype" w:cs="Calibri"/>
          <w:lang w:val="pt-BR"/>
        </w:rPr>
        <w:t xml:space="preserve"> 15, no. 1 (2023): 1–15, https://doi.org/10.30997/jill.v15i1.7931.</w:t>
      </w:r>
      <w:r w:rsidRPr="00026EF7">
        <w:rPr>
          <w:rFonts w:ascii="Palatino Linotype" w:hAnsi="Palatino Linotype"/>
        </w:rPr>
        <w:fldChar w:fldCharType="end"/>
      </w:r>
    </w:p>
  </w:footnote>
  <w:footnote w:id="13">
    <w:p w14:paraId="1FACCBAB" w14:textId="77777777" w:rsidR="000F1F54" w:rsidRPr="00026EF7" w:rsidRDefault="000F1F54" w:rsidP="000F1F54">
      <w:pPr>
        <w:pStyle w:val="FootnoteText"/>
        <w:jc w:val="both"/>
        <w:rPr>
          <w:rFonts w:ascii="Palatino Linotype" w:hAnsi="Palatino Linotype"/>
          <w:lang w:val="pt-BR"/>
        </w:rPr>
      </w:pPr>
      <w:r w:rsidRPr="00026EF7">
        <w:rPr>
          <w:rStyle w:val="FootnoteReference"/>
          <w:rFonts w:ascii="Palatino Linotype" w:hAnsi="Palatino Linotype"/>
        </w:rPr>
        <w:footnoteRef/>
      </w:r>
      <w:r w:rsidRPr="00026EF7">
        <w:rPr>
          <w:rFonts w:ascii="Palatino Linotype" w:hAnsi="Palatino Linotype"/>
          <w:lang w:val="pt-BR"/>
        </w:rPr>
        <w:t xml:space="preserve"> </w:t>
      </w:r>
      <w:r w:rsidRPr="00026EF7">
        <w:rPr>
          <w:rFonts w:ascii="Palatino Linotype" w:hAnsi="Palatino Linotype"/>
        </w:rPr>
        <w:fldChar w:fldCharType="begin"/>
      </w:r>
      <w:r w:rsidRPr="00026EF7">
        <w:rPr>
          <w:rFonts w:ascii="Palatino Linotype" w:hAnsi="Palatino Linotype"/>
          <w:lang w:val="pt-BR"/>
        </w:rPr>
        <w:instrText xml:space="preserve"> ADDIN ZOTERO_ITEM CSL_CITATION {"citationID":"MZUmdBAI","properties":{"formattedCitation":"Rizki Yudha Bramantyo and Gentur Cahyo Setiono, \\uc0\\u8220{}Implementasi Undang-Undang Dasar 1945 Pasal 18b Ayat 2 Tentang Pengakuan Negara Terhadap Norma Adat Dalam Perspektif Religius dan Ritualis Masyarakat Dusun Temboro Kecamatan Wates Kabupaten Kediri,\\uc0\\u8221{} {\\i{}Transparansi Hukum}, ahead of print, November 18, 2022, 33, https://doi.org/10.30737/transparansi.v0i0.3688.","plainCitation":"Rizki Yudha Bramantyo and Gentur Cahyo Setiono, “Implementasi Undang-Undang Dasar 1945 Pasal 18b Ayat 2 Tentang Pengakuan Negara Terhadap Norma Adat Dalam Perspektif Religius dan Ritualis Masyarakat Dusun Temboro Kecamatan Wates Kabupaten Kediri,” Transparansi Hukum, ahead of print, November 18, 2022, 33, https://doi.org/10.30737/transparansi.v0i0.3688.","noteIndex":13},"citationItems":[{"id":2664,"uris":["http://zotero.org/users/15305905/items/4YS277FW"],"itemData":{"id":2664,"type":"article-journal","abstract":"ABSTRAKSI Penelitian yang berjudul implementasi undang-undang dasar 1945 pasal 18b ayat 2 tentang pengakuan negara terhadap norma adat dalam perspektif religius dan ritualis masyarakat dusun temboro kecamatan wates kabupaten kediri ini adalah sebuah penelitian empirik yang bertujuan untuk memotret fenomena yng terjadi di kehidupan masyarakat dimana seiring dengan kemajuan jaman dan percepatan era keterbukaan informasi apakah kebiasaan masyarakat terkait dengan kehidupan religius dan ritualnya sudah ikut berubah atau belum. Hasil penelitian menunjukkan bahwa ternyata ritual terkait religiusitas masyarakat di pare belum berubah dan masih ada disana dan dihormati. Penelitian menggunakan pendekatan empirik dimana peneliti menggunakan dirinya sendiri sebagai instrumen penelitian dan menulis serta bertanya secara mendalam dengan informan kunci demi mendapatkan data primer. Kata Kunci : Implementasi, reigius dan ritualis, norma","container-title":"Transparansi Hukum","DOI":"10.30737/transparansi.v0i0.3688","ISSN":"2613-9197, 2613-9200","journalAbbreviation":"Transparansi","language":"id","source":"DOI.org (Crossref)","title":"Implementasi Undang-Undang Dasar 1945 Pasal 18b Ayat 2 Tentang Pengakuan Negara Terhadap Norma Adat Dalam Perspektif Religius dan Ritualis Masyarakat Dusun Temboro Kecamatan Wates Kabupaten Kediri","URL":"https://ojs.unik-kediri.ac.id/index.php/transparansihukum/article/view/3688","author":[{"family":"Bramantyo","given":"Rizki Yudha"},{"family":"Setiono","given":"Gentur Cahyo"}],"accessed":{"date-parts":[["2024",11,23]]},"issued":{"date-parts":[["2022",11,18]]}},"locator":"33"}],"schema":"https://github.com/citation-style-language/schema/raw/master/csl-citation.json"}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lang w:val="pt-BR"/>
        </w:rPr>
        <w:t xml:space="preserve">Rizki Yudha Bramantyo and Gentur Cahyo Setiono, “Implementasi Undang-Undang Dasar 1945 Pasal 18b Ayat 2 Tentang Pengakuan Negara Terhadap Norma Adat Dalam Perspektif Religius dan Ritualis Masyarakat Dusun Temboro Kecamatan Wates Kabupaten Kediri,” </w:t>
      </w:r>
      <w:r w:rsidRPr="00026EF7">
        <w:rPr>
          <w:rFonts w:ascii="Palatino Linotype" w:hAnsi="Palatino Linotype"/>
          <w:i/>
          <w:iCs/>
          <w:lang w:val="pt-BR"/>
        </w:rPr>
        <w:t>Transparansi Hukum</w:t>
      </w:r>
      <w:r w:rsidRPr="00026EF7">
        <w:rPr>
          <w:rFonts w:ascii="Palatino Linotype" w:hAnsi="Palatino Linotype"/>
          <w:lang w:val="pt-BR"/>
        </w:rPr>
        <w:t>, ahead of print, November 18, 2022, 33, https://doi.org/10.30737/transparansi.v0i0.3688.</w:t>
      </w:r>
      <w:r w:rsidRPr="00026EF7">
        <w:rPr>
          <w:rFonts w:ascii="Palatino Linotype" w:hAnsi="Palatino Linotype"/>
        </w:rPr>
        <w:fldChar w:fldCharType="end"/>
      </w:r>
    </w:p>
  </w:footnote>
  <w:footnote w:id="14">
    <w:p w14:paraId="430E1465" w14:textId="77777777" w:rsidR="000F1F54" w:rsidRPr="00026EF7" w:rsidRDefault="000F1F54" w:rsidP="000F1F54">
      <w:pPr>
        <w:pStyle w:val="FootnoteText"/>
        <w:jc w:val="both"/>
        <w:rPr>
          <w:rFonts w:ascii="Palatino Linotype" w:hAnsi="Palatino Linotype"/>
          <w:sz w:val="18"/>
          <w:szCs w:val="18"/>
          <w:shd w:val="clear" w:color="auto" w:fill="FFFFFF"/>
          <w:lang w:val="pt-BR"/>
        </w:rPr>
      </w:pPr>
      <w:r w:rsidRPr="00026EF7">
        <w:rPr>
          <w:rStyle w:val="FootnoteReference"/>
          <w:rFonts w:ascii="Palatino Linotype" w:hAnsi="Palatino Linotype"/>
          <w:sz w:val="18"/>
          <w:szCs w:val="18"/>
        </w:rPr>
        <w:footnoteRef/>
      </w:r>
      <w:r w:rsidRPr="00026EF7">
        <w:rPr>
          <w:rFonts w:ascii="Palatino Linotype" w:hAnsi="Palatino Linotype"/>
          <w:sz w:val="18"/>
          <w:szCs w:val="18"/>
          <w:lang w:val="pt-BR"/>
        </w:rPr>
        <w:t xml:space="preserve"> </w:t>
      </w:r>
      <w:r w:rsidRPr="00026EF7">
        <w:rPr>
          <w:rFonts w:ascii="Palatino Linotype" w:hAnsi="Palatino Linotype"/>
          <w:lang w:val="pt-BR"/>
        </w:rPr>
        <w:t xml:space="preserve">Prof. Dr. Ningrum Natasya Sirait. </w:t>
      </w:r>
      <w:r w:rsidRPr="00026EF7">
        <w:rPr>
          <w:rFonts w:ascii="Palatino Linotype" w:hAnsi="Palatino Linotype"/>
        </w:rPr>
        <w:t xml:space="preserve">(2025, 11 April 2025). Monopoli </w:t>
      </w:r>
      <w:proofErr w:type="spellStart"/>
      <w:r w:rsidRPr="00026EF7">
        <w:rPr>
          <w:rFonts w:ascii="Palatino Linotype" w:hAnsi="Palatino Linotype"/>
        </w:rPr>
        <w:t>Kewenangan</w:t>
      </w:r>
      <w:proofErr w:type="spellEnd"/>
      <w:r w:rsidRPr="00026EF7">
        <w:rPr>
          <w:rFonts w:ascii="Palatino Linotype" w:hAnsi="Palatino Linotype"/>
        </w:rPr>
        <w:t xml:space="preserve"> </w:t>
      </w:r>
      <w:proofErr w:type="spellStart"/>
      <w:r w:rsidRPr="00026EF7">
        <w:rPr>
          <w:rFonts w:ascii="Palatino Linotype" w:hAnsi="Palatino Linotype"/>
        </w:rPr>
        <w:t>Presiden</w:t>
      </w:r>
      <w:proofErr w:type="spellEnd"/>
      <w:r w:rsidRPr="00026EF7">
        <w:rPr>
          <w:rFonts w:ascii="Palatino Linotype" w:hAnsi="Palatino Linotype"/>
        </w:rPr>
        <w:t xml:space="preserve"> </w:t>
      </w:r>
      <w:proofErr w:type="spellStart"/>
      <w:r w:rsidRPr="00026EF7">
        <w:rPr>
          <w:rFonts w:ascii="Palatino Linotype" w:hAnsi="Palatino Linotype"/>
        </w:rPr>
        <w:t>dalam</w:t>
      </w:r>
      <w:proofErr w:type="spellEnd"/>
      <w:r w:rsidRPr="00026EF7">
        <w:rPr>
          <w:rFonts w:ascii="Palatino Linotype" w:hAnsi="Palatino Linotype"/>
        </w:rPr>
        <w:t xml:space="preserve"> UU BUMN. </w:t>
      </w:r>
      <w:r w:rsidRPr="00026EF7">
        <w:rPr>
          <w:rFonts w:ascii="Palatino Linotype" w:hAnsi="Palatino Linotype"/>
          <w:lang w:val="pt-BR"/>
        </w:rPr>
        <w:t>Diakses pada 13 Oktober 2025 dari</w:t>
      </w:r>
      <w:r w:rsidRPr="00026EF7">
        <w:rPr>
          <w:rFonts w:ascii="Palatino Linotype" w:hAnsi="Palatino Linotype"/>
          <w:sz w:val="18"/>
          <w:szCs w:val="18"/>
          <w:shd w:val="clear" w:color="auto" w:fill="FFFFFF"/>
          <w:lang w:val="pt-BR"/>
        </w:rPr>
        <w:t xml:space="preserve"> </w:t>
      </w:r>
      <w:hyperlink r:id="rId1" w:history="1">
        <w:r w:rsidRPr="00026EF7">
          <w:rPr>
            <w:rStyle w:val="Hyperlink"/>
            <w:rFonts w:ascii="Palatino Linotype" w:eastAsiaTheme="majorEastAsia" w:hAnsi="Palatino Linotype"/>
            <w:sz w:val="18"/>
            <w:szCs w:val="18"/>
            <w:shd w:val="clear" w:color="auto" w:fill="FFFFFF"/>
            <w:lang w:val="pt-BR"/>
          </w:rPr>
          <w:t>https://katadata.co.id/indepth/opini/67f85b75f3100/monopoli-kewenangan-presiden-dalam-uu-bumn</w:t>
        </w:r>
      </w:hyperlink>
    </w:p>
  </w:footnote>
  <w:footnote w:id="15">
    <w:p w14:paraId="0E314627" w14:textId="36097F4D" w:rsidR="000F1F54" w:rsidRPr="00026EF7" w:rsidRDefault="000F1F54" w:rsidP="000F1F54">
      <w:pPr>
        <w:pStyle w:val="FootnoteText"/>
        <w:jc w:val="both"/>
        <w:rPr>
          <w:rFonts w:ascii="Palatino Linotype" w:hAnsi="Palatino Linotype"/>
          <w:lang w:val="pt-BR"/>
        </w:rPr>
      </w:pPr>
      <w:r w:rsidRPr="00026EF7">
        <w:rPr>
          <w:rStyle w:val="FootnoteReference"/>
          <w:rFonts w:ascii="Palatino Linotype" w:hAnsi="Palatino Linotype"/>
        </w:rPr>
        <w:footnoteRef/>
      </w:r>
      <w:r w:rsidRPr="00026EF7">
        <w:rPr>
          <w:rFonts w:ascii="Palatino Linotype" w:hAnsi="Palatino Linotype"/>
          <w:lang w:val="pt-BR"/>
        </w:rPr>
        <w:t xml:space="preserve"> </w:t>
      </w:r>
      <w:r w:rsidRPr="00026EF7">
        <w:rPr>
          <w:rFonts w:ascii="Palatino Linotype" w:hAnsi="Palatino Linotype"/>
        </w:rPr>
        <w:fldChar w:fldCharType="begin"/>
      </w:r>
      <w:r w:rsidRPr="00026EF7">
        <w:rPr>
          <w:rFonts w:ascii="Palatino Linotype" w:hAnsi="Palatino Linotype"/>
          <w:lang w:val="pt-BR"/>
        </w:rPr>
        <w:instrText xml:space="preserve"> ADDIN ZOTERO_ITEM CSL_CITATION {"citationID":"vTfI1ZhO","properties":{"formattedCitation":"Ahmad Muhamad Mustain Nasoha et al., \\uc0\\u8220{}Pengaruh Pancasila Terhadap Pengaturan Hukum Adat dalam Konstitusi Indonesia Perspektif Historis dan Yuridis,\\uc0\\u8221{} {\\i{}Hukum Inovatif\\uc0\\u8239{}: Jurnal Ilmu Hukum Sosial dan Humaniora} 1, no. 4 (2024): 309\\uc0\\u8211{}21, https://doi.org/10.62383/humif.v1i4.934.","plainCitation":"Ahmad Muhamad Mustain Nasoha et al., “Pengaruh Pancasila Terhadap Pengaturan Hukum Adat dalam Konstitusi Indonesia Perspektif Historis dan Yuridis,” Hukum Inovatif</w:instrText>
      </w:r>
      <w:r w:rsidRPr="00026EF7">
        <w:rPr>
          <w:rFonts w:ascii="Times New Roman" w:hAnsi="Times New Roman" w:cs="Times New Roman"/>
          <w:lang w:val="pt-BR"/>
        </w:rPr>
        <w:instrText> </w:instrText>
      </w:r>
      <w:r w:rsidRPr="00026EF7">
        <w:rPr>
          <w:rFonts w:ascii="Palatino Linotype" w:hAnsi="Palatino Linotype"/>
          <w:lang w:val="pt-BR"/>
        </w:rPr>
        <w:instrText>: Jurnal Ilmu Hukum Sosial dan Humaniora 1, no. 4 (2024): 309</w:instrText>
      </w:r>
      <w:r w:rsidRPr="00026EF7">
        <w:rPr>
          <w:rFonts w:ascii="Palatino Linotype" w:hAnsi="Palatino Linotype" w:cs="Palatino Linotype"/>
          <w:lang w:val="pt-BR"/>
        </w:rPr>
        <w:instrText>–</w:instrText>
      </w:r>
      <w:r w:rsidRPr="00026EF7">
        <w:rPr>
          <w:rFonts w:ascii="Palatino Linotype" w:hAnsi="Palatino Linotype"/>
          <w:lang w:val="pt-BR"/>
        </w:rPr>
        <w:instrText xml:space="preserve">21, https://doi.org/10.62383/humif.v1i4.934.","noteIndex":15},"citationItems":[{"id":3091,"uris":["http://zotero.org/users/15305905/items/NCV5V3R8"],"itemData":{"id":3091,"type":"article-journal","abstract":"As the basic ideology of the Indonesian state, Pancasila not only provides philosophical and normative guidelines for governance, but also plays an important role in the recognition and implementation of customary law throughout Indonesia. This study aims to provide an in-depth analysis of the relationship between Pancasila and customary law in the context of the Indonesian constitution, evaluating how Pancasila influences the recognition, regulation, and implementation of customary law, while exploring historical and legal challenges and solutions. This study also examines how regulations governing customary law should be adjusted to continue to respect customary norms while remaining consistent with national law and human rights. Through comprehensive analysis and strategic recommendations, this study aims to contribute to strengthening the integration of customary law into the Indonesian national legal system, strengthening the implementation of the principles of Pancasila, and promoting justice and harmony within the framework of a unitary state. This study aims to ensure that customary law is not only respected but also implemented effectively in supporting the basic values of the state and the interests of indigenous peoples throughout Indonesia.","container-title":"Hukum Inovatif : Jurnal Ilmu Hukum Sosial dan Humaniora","DOI":"10.62383/humif.v1i4.934","ISSN":"3046-5680, 3046-6148","issue":"4","journalAbbreviation":"Humif","language":"id","license":"https://creativecommons.org/licenses/by-sa/4.0","page":"309-321","source":"DOI.org (Crossref)","title":"Pengaruh Pancasila Terhadap Pengaturan Hukum Adat dalam Konstitusi Indonesia Perspektif Historis dan Yuridis","volume":"1","author":[{"literal":"Ahmad Muhamad Mustain Nasoha"},{"literal":"Ashfiya Nur Atqiya"},{"literal":"Ardwana Riswari Wisnu"},{"literal":"Arif Budi Utomo"},{"literal":"Inayatun Nafi'ah"}],"issued":{"date-parts":[["2024",10,30]]}}}],"schema":"https://github.com/citation-style-language/schema/raw/master/csl-citation.json"}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cs="Calibri"/>
          <w:lang w:val="pt-BR"/>
        </w:rPr>
        <w:t xml:space="preserve">Ahmad Muhamad Mustain Nasoha et al., “Pengaruh Pancasila Terhadap Pengaturan Hukum Adat dalam Konstitusi Indonesia Perspektif Historis dan Yuridis,” </w:t>
      </w:r>
      <w:r w:rsidRPr="00026EF7">
        <w:rPr>
          <w:rFonts w:ascii="Palatino Linotype" w:hAnsi="Palatino Linotype" w:cs="Calibri"/>
          <w:i/>
          <w:iCs/>
          <w:lang w:val="pt-BR"/>
        </w:rPr>
        <w:t>Hukum Inovatif</w:t>
      </w:r>
      <w:r w:rsidRPr="00026EF7">
        <w:rPr>
          <w:rFonts w:ascii="Times New Roman" w:hAnsi="Times New Roman" w:cs="Times New Roman"/>
          <w:i/>
          <w:iCs/>
          <w:lang w:val="pt-BR"/>
        </w:rPr>
        <w:t> </w:t>
      </w:r>
      <w:r w:rsidRPr="00026EF7">
        <w:rPr>
          <w:rFonts w:ascii="Palatino Linotype" w:hAnsi="Palatino Linotype" w:cs="Calibri"/>
          <w:i/>
          <w:iCs/>
          <w:lang w:val="pt-BR"/>
        </w:rPr>
        <w:t>: Jurnal Ilmu Hukum Sosial dan Humaniora</w:t>
      </w:r>
      <w:r w:rsidRPr="00026EF7">
        <w:rPr>
          <w:rFonts w:ascii="Palatino Linotype" w:hAnsi="Palatino Linotype" w:cs="Calibri"/>
          <w:lang w:val="pt-BR"/>
        </w:rPr>
        <w:t xml:space="preserve"> 1, no. 4 (2024): 309–21, https://doi.org/10.62383/humif.v1i4.934.</w:t>
      </w:r>
      <w:r w:rsidRPr="00026EF7">
        <w:rPr>
          <w:rFonts w:ascii="Palatino Linotype" w:hAnsi="Palatino Linotype"/>
        </w:rPr>
        <w:fldChar w:fldCharType="end"/>
      </w:r>
    </w:p>
  </w:footnote>
  <w:footnote w:id="16">
    <w:p w14:paraId="135D0962" w14:textId="6F585573" w:rsidR="000F1F54" w:rsidRPr="00026EF7" w:rsidRDefault="000F1F54" w:rsidP="000F1F54">
      <w:pPr>
        <w:pStyle w:val="FootnoteText"/>
        <w:jc w:val="both"/>
        <w:rPr>
          <w:rFonts w:ascii="Palatino Linotype" w:hAnsi="Palatino Linotype"/>
          <w:lang w:val="en-US"/>
        </w:rPr>
      </w:pPr>
      <w:r w:rsidRPr="00026EF7">
        <w:rPr>
          <w:rStyle w:val="FootnoteReference"/>
          <w:rFonts w:ascii="Palatino Linotype" w:hAnsi="Palatino Linotype"/>
        </w:rPr>
        <w:footnoteRef/>
      </w:r>
      <w:r w:rsidRPr="00026EF7">
        <w:rPr>
          <w:rFonts w:ascii="Palatino Linotype" w:hAnsi="Palatino Linotype"/>
          <w:lang w:val="en-US"/>
        </w:rPr>
        <w:t xml:space="preserve"> </w:t>
      </w:r>
      <w:r w:rsidRPr="00026EF7">
        <w:rPr>
          <w:rFonts w:ascii="Palatino Linotype" w:hAnsi="Palatino Linotype"/>
        </w:rPr>
        <w:fldChar w:fldCharType="begin"/>
      </w:r>
      <w:r w:rsidRPr="00026EF7">
        <w:rPr>
          <w:rFonts w:ascii="Palatino Linotype" w:hAnsi="Palatino Linotype"/>
          <w:lang w:val="en-US"/>
        </w:rPr>
        <w:instrText xml:space="preserve"> ADDIN ZOTERO_ITEM CSL_CITATION {"citationID":"i9RTkYzi","properties":{"formattedCitation":"Geofani Milthree Saragih et al., \\uc0\\u8220{}Evaluation of the Implementation of Pancasila Values and Human Rights Enforcement in Indonesian Judicial System Through Constitutional Approach,\\uc0\\u8221{} {\\i{}Reformasi Hukum} 28, no. 3 (2024): 202\\uc0\\u8211{}17, https://doi.org/10.46257/jrh.v28i3.1082.","plainCitation":"Geofani Milthree Saragih et al., “Evaluation of the Implementation of Pancasila Values and Human Rights Enforcement in Indonesian Judicial System Through Constitutional Approach,” Reformasi Hukum 28, no. 3 (2024): 202–17, https://doi.org/10.46257/jrh.v28i3.1082.","noteIndex":16},"citationItems":[{"id":4960,"uris":["http://zotero.org/users/15305905/items/JR4GYBDL"],"itemData":{"id":4960,"type":"article-journal","abstract":"This study evaluates the application of Pancasila values and the enforcement of human rights in Indonesia's judicial system through a constitutional approach. Using normative legal research methods, the approach taken includes analysis of legislation, conceptual studies, as well as case studies of a number of relevant Constitutional Court decisions. The results show that the values of Pancasila, particularly the second and fifth precepts, play a fundamental role as the philosophical basis in the application and interpretation of human rights principles in Indonesia. The Constitutional Court has a strategic role in safeguarding the constitution while ensuring the enforcement of human rights through progressive legal interpretation. However, despite these positive steps, challenges such as inconsistencies in lower court decisions and mismatches between the rule of law and the needs of society remain. This research recommends strengthening Pancasila-based legal education, harmonizing legal policies, and increasing the capacity of judges in integrating human rights with social justice principles holistically. The findings confirm that the judicial system, with a strong constitutional approach, can be an effective tool in realizing social justice in accordance with the values of Pancasila and the constitution.","container-title":"Reformasi Hukum","DOI":"10.46257/jrh.v28i3.1082","ISSN":"2686-1593, 1693-9336","issue":"3","journalAbbreviation":"Reformasi Hukum","language":"id","license":"https://creativecommons.org/licenses/by/4.0","page":"202-217","source":"DOI.org (Crossref)","title":"Evaluation of the Implementation of Pancasila Values and Human Rights Enforcement in Indonesian Judicial System Through Constitutional Approach","volume":"28","author":[{"family":"Saragih","given":"Geofani Milthree"},{"family":"Ishwara","given":"Ade Sathya Sanathana"},{"family":"Putra","given":"Rengga Kusuma"}],"issued":{"date-parts":[["2024",12,31]]}}}],"schema":"https://github.com/citation-style-language/schema/raw/master/csl-citation.json"}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cs="Calibri"/>
        </w:rPr>
        <w:t xml:space="preserve">Geofani Milthree Saragih et al., “Evaluation of the Implementation of Pancasila Values and Human Rights Enforcement in Indonesian Judicial System Through Constitutional Approach,” </w:t>
      </w:r>
      <w:r w:rsidRPr="00026EF7">
        <w:rPr>
          <w:rFonts w:ascii="Palatino Linotype" w:hAnsi="Palatino Linotype" w:cs="Calibri"/>
          <w:i/>
          <w:iCs/>
        </w:rPr>
        <w:t>Reformasi Hukum</w:t>
      </w:r>
      <w:r w:rsidRPr="00026EF7">
        <w:rPr>
          <w:rFonts w:ascii="Palatino Linotype" w:hAnsi="Palatino Linotype" w:cs="Calibri"/>
        </w:rPr>
        <w:t xml:space="preserve"> 28, no. 3 (2024): 202–17, https://doi.org/10.46257/jrh.v28i3.1082.</w:t>
      </w:r>
      <w:r w:rsidRPr="00026EF7">
        <w:rPr>
          <w:rFonts w:ascii="Palatino Linotype" w:hAnsi="Palatino Linotype"/>
        </w:rPr>
        <w:fldChar w:fldCharType="end"/>
      </w:r>
    </w:p>
  </w:footnote>
  <w:footnote w:id="17">
    <w:p w14:paraId="67C32423" w14:textId="4BC222D2" w:rsidR="000F1F54" w:rsidRPr="00026EF7" w:rsidRDefault="000F1F54" w:rsidP="000F1F54">
      <w:pPr>
        <w:pStyle w:val="FootnoteText"/>
        <w:jc w:val="both"/>
        <w:rPr>
          <w:rFonts w:ascii="Palatino Linotype" w:hAnsi="Palatino Linotype"/>
          <w:lang w:val="en-US"/>
        </w:rPr>
      </w:pPr>
      <w:r w:rsidRPr="00026EF7">
        <w:rPr>
          <w:rStyle w:val="FootnoteReference"/>
          <w:rFonts w:ascii="Palatino Linotype" w:hAnsi="Palatino Linotype"/>
        </w:rPr>
        <w:footnoteRef/>
      </w:r>
      <w:r w:rsidRPr="00026EF7">
        <w:rPr>
          <w:rFonts w:ascii="Palatino Linotype" w:hAnsi="Palatino Linotype"/>
          <w:lang w:val="en-US"/>
        </w:rPr>
        <w:t xml:space="preserve"> </w:t>
      </w:r>
      <w:r w:rsidRPr="00026EF7">
        <w:rPr>
          <w:rFonts w:ascii="Palatino Linotype" w:hAnsi="Palatino Linotype"/>
        </w:rPr>
        <w:fldChar w:fldCharType="begin"/>
      </w:r>
      <w:r w:rsidRPr="00026EF7">
        <w:rPr>
          <w:rFonts w:ascii="Palatino Linotype" w:hAnsi="Palatino Linotype"/>
          <w:lang w:val="en-US"/>
        </w:rPr>
        <w:instrText xml:space="preserve"> ADDIN ZOTERO_ITEM CSL_CITATION {"citationID":"eDVP8H83","properties":{"formattedCitation":"Hilwa Anggraini et al., \\uc0\\u8220{}Analisis Sistem Informasi Akuntansi Pengeluaran Kas Uang Ganti Kerugian Pengadaan Tanah Jalan Tol Simpang Indralaya-Muara Enim Di Kementrian PUPR,\\uc0\\u8221{} {\\i{}Jurnal EKOBIS\\uc0\\u8239{}: Kajian Ekonomi Dan Bisnis} 6, no. 1 (2022).","plainCitation":"Hilwa Anggraini et al., “Analisis Sistem Informasi Akuntansi Pengeluaran Kas Uang Ganti Kerugian Pengadaan Tanah Jalan Tol Simpang Indralaya-Muara Enim Di Kementrian PUPR,” Jurnal EKOBIS</w:instrText>
      </w:r>
      <w:r w:rsidRPr="00026EF7">
        <w:rPr>
          <w:rFonts w:ascii="Times New Roman" w:hAnsi="Times New Roman" w:cs="Times New Roman"/>
          <w:lang w:val="en-US"/>
        </w:rPr>
        <w:instrText> </w:instrText>
      </w:r>
      <w:r w:rsidRPr="00026EF7">
        <w:rPr>
          <w:rFonts w:ascii="Palatino Linotype" w:hAnsi="Palatino Linotype"/>
          <w:lang w:val="en-US"/>
        </w:rPr>
        <w:instrText xml:space="preserve">: Kajian Ekonomi Dan Bisnis 6, no. 1 (2022).","noteIndex":17},"citationItems":[{"id":1192,"uris":["http://zotero.org/users/15305905/items/YSE6TV8M"],"itemData":{"id":1192,"type":"article-journal","abstract":"This study aims to determine the accounting information system for cash disbursements for compensation for land acquisition for the Simpang Indralaya- Muara Enim toll road. The type of research is case study with data collection methods carried out by literature studies and field studies and data collection techniques through observation, interviews, and documentation. The data used is descriptive qualitative data. The source of the data obtained is primary data from the office of the Land Procurement Commitment Officer for the Simpang Indralaya-Muara Enim Toll Road and secondary data obtained from journals, theses, and applicable regulations. The problem is that the accounting information system for cash disbursements for compensation for land acquisition on the Indralaya-Muara Enim Intersection is still weak. This is due to the lessthan optimal function of the examiner of the Commitment Making Officer so that there are documents for the provision of compensation money which are declared incomplete according to the Supreme Audit Agency. Based on the results of the qualitative descriptive analysis, the Land Procurement Implementing Agency and the Land Procurement Commitment Officer for the Indralaya-Muara Enim Intersection should form an internal verifier team. It is hoped that by forming an internal verifier team, it can minimize document incompleteness so that document completeness can be optimized.","container-title":"Jurnal EKOBIS : Kajian Ekonomi Dan Bisnis","issue":"1","language":"id","source":"Zotero","title":"Analisis Sistem Informasi Akuntansi Pengeluaran Kas Uang Ganti Kerugian Pengadaan Tanah Jalan Tol Simpang Indralaya-Muara Enim Di Kementrian PUPR","volume":"6","author":[{"family":"Anggraini","given":"Hilwa"},{"family":"Ghozali","given":"Zein"},{"family":"Sutandi","given":"Sri"}],"issued":{"date-parts":[["2022"]]}}}],"schema":"https://github.com/citation-style-language/schema/raw/master/csl-citation.json"}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cs="Calibri"/>
        </w:rPr>
        <w:t xml:space="preserve">Hilwa Anggraini et al., “Analisis Sistem Informasi Akuntansi Pengeluaran Kas Uang Ganti Kerugian Pengadaan Tanah Jalan Tol Simpang Indralaya-Muara Enim Di Kementrian PUPR,” </w:t>
      </w:r>
      <w:r w:rsidRPr="00026EF7">
        <w:rPr>
          <w:rFonts w:ascii="Palatino Linotype" w:hAnsi="Palatino Linotype" w:cs="Calibri"/>
          <w:i/>
          <w:iCs/>
        </w:rPr>
        <w:t>Jurnal EKOBIS</w:t>
      </w:r>
      <w:r w:rsidRPr="00026EF7">
        <w:rPr>
          <w:rFonts w:ascii="Times New Roman" w:hAnsi="Times New Roman" w:cs="Times New Roman"/>
          <w:i/>
          <w:iCs/>
        </w:rPr>
        <w:t> </w:t>
      </w:r>
      <w:r w:rsidRPr="00026EF7">
        <w:rPr>
          <w:rFonts w:ascii="Palatino Linotype" w:hAnsi="Palatino Linotype" w:cs="Calibri"/>
          <w:i/>
          <w:iCs/>
        </w:rPr>
        <w:t>: Kajian Ekonomi Dan Bisnis</w:t>
      </w:r>
      <w:r w:rsidRPr="00026EF7">
        <w:rPr>
          <w:rFonts w:ascii="Palatino Linotype" w:hAnsi="Palatino Linotype" w:cs="Calibri"/>
        </w:rPr>
        <w:t xml:space="preserve"> 6, no. 1 (2022).</w:t>
      </w:r>
      <w:r w:rsidRPr="00026EF7">
        <w:rPr>
          <w:rFonts w:ascii="Palatino Linotype" w:hAnsi="Palatino Linotype"/>
        </w:rPr>
        <w:fldChar w:fldCharType="end"/>
      </w:r>
    </w:p>
  </w:footnote>
  <w:footnote w:id="18">
    <w:p w14:paraId="444E4CEC" w14:textId="5A2A7D1A" w:rsidR="000F1F54" w:rsidRPr="00026EF7" w:rsidRDefault="000F1F54" w:rsidP="000F1F54">
      <w:pPr>
        <w:pStyle w:val="FootnoteText"/>
        <w:jc w:val="both"/>
        <w:rPr>
          <w:rFonts w:ascii="Palatino Linotype" w:hAnsi="Palatino Linotype"/>
          <w:lang w:val="en-US"/>
        </w:rPr>
      </w:pPr>
      <w:r w:rsidRPr="00026EF7">
        <w:rPr>
          <w:rStyle w:val="FootnoteReference"/>
          <w:rFonts w:ascii="Palatino Linotype" w:hAnsi="Palatino Linotype"/>
        </w:rPr>
        <w:footnoteRef/>
      </w:r>
      <w:r w:rsidRPr="00026EF7">
        <w:rPr>
          <w:rFonts w:ascii="Palatino Linotype" w:hAnsi="Palatino Linotype"/>
          <w:lang w:val="en-US"/>
        </w:rPr>
        <w:t xml:space="preserve"> </w:t>
      </w:r>
      <w:r w:rsidRPr="00026EF7">
        <w:rPr>
          <w:rFonts w:ascii="Palatino Linotype" w:hAnsi="Palatino Linotype"/>
        </w:rPr>
        <w:fldChar w:fldCharType="begin"/>
      </w:r>
      <w:r w:rsidRPr="00026EF7">
        <w:rPr>
          <w:rFonts w:ascii="Palatino Linotype" w:hAnsi="Palatino Linotype"/>
          <w:lang w:val="en-US"/>
        </w:rPr>
        <w:instrText xml:space="preserve"> ADDIN ZOTERO_ITEM CSL_CITATION {"citationID":"YMP3dRM7","properties":{"formattedCitation":"Tiyas Asri Putri and Tundjung Herning Sitabuana, \\uc0\\u8220{}Pengawasan Pengelolaan Keuangan Negara Terhadap Badan Usaha Milik Negara (BUMN),\\uc0\\u8221{} {\\i{}SIBATIK JOURNAL: Jurnal Ilmiah Bidang Sosial, Ekonomi, Budaya, Teknologi, dan Pendidikan} 1, no. 7 (2022): 1003\\uc0\\u8211{}18, https://doi.org/10.54443/sibatik.v1i7.118.","plainCitation":"Tiyas Asri Putri and Tundjung Herning Sitabuana, “Pengawasan Pengelolaan Keuangan Negara Terhadap Badan Usaha Milik Negara (BUMN),” SIBATIK JOURNAL: Jurnal Ilmiah Bidang Sosial, Ekonomi, Budaya, Teknologi, dan Pendidikan 1, no. 7 (2022): 1003–18, https://doi.org/10.54443/sibatik.v1i7.118.","noteIndex":18},"citationItems":[{"id":2942,"uris":["http://zotero.org/users/15305905/items/5U6H5K7Z"],"itemData":{"id":2942,"type":"article-journal","abstract":"Problematika utama dalam pengelolaan BUMN yaitu berkaitan dengan peraturan perundang-undangan yang mengatur terkait BUMN itu sendiri. Problematika tersebut yaitu adanya disharmonisasi antar peraturan perundangundangan terkait pola pengawasan pada BUMN tersebut, utamanya pada pengelolaan keuangan. Namun, permasalahan tumpang tindihnya peraturan perundang-undangan tersebut, tidak dapat dilakukan upaya uji materi (judicial review) ke Mahkamah Konstitusi. Karena apabila BUMN dikelola dengan berpedoman pada prinsip-prinsip perusahaan yang sehat, maka artinya secara hukum privat berlaku pula ketentuan pada Undang-Undang Nomor 40 Tahun 2007 tentang Perseroan Terbatas (selanjutnya disebut Undang-Undang PT). “bagian dari keuangan publik, di mana dalam praktiknya akan merugikan kedudukan hukum BUMN selaku badan hukum privat karena tidak adanya perbedaan secara tegas mana badan hukum publik dan badan hukum perdata yang menjadi bagian ruang lingkup kewenangan Badan Pemeriksa Keuangan. Setiap badan hukum yang berbentuk perusahaan dipastikan terdapat alat perlengkapan yaitu pengawasan. Pengawasan dilaksanakan sebagai kontrol pekerjaan seorang direksi yang mempunyai tugas mengurus perusahaannya. Seperti kita ketahui bahwa seluruh kegiatan perusahaan di pegang oleh seorang direksi. Tujuan dari Negara itu sendiri untuk menegakkan aturan hukum yang memilki kemaslahatn untuk rakyat serta menintik beratkan kepada penegkakkan hukum. Pemerintah sebagai amanat atau kepercayaan dari masyarakat kepada pemerintah agar menetapkan hukum atau peraturan yang bertujuan menciptakan kemaslahatan di tengah-tengah masyarakat. Dengan ini menggunakan metode penelitian pendekatan yuridis-empiris. Metode penelitian ialah “suatu cara untuk menemukan jawaban akan sesuatu hal. Cara penemuan jawaban tersebut sudah tersusun dalam langkah langkah tertentu yang terurut dan sistematis. Untuk menganalisis penanggulangan sengketa dalam Pengawasan Pengelolaan Keuangan Negara di Indonesia.","container-title":"SIBATIK JOURNAL: Jurnal Ilmiah Bidang Sosial, Ekonomi, Budaya, Teknologi, dan Pendidikan","DOI":"10.54443/sibatik.v1i7.118","ISSN":"2809-8544","issue":"7","journalAbbreviation":"SIBATIK","language":"id","license":"https://creativecommons.org/licenses/by/4.0","page":"1003-1018","source":"DOI.org (Crossref)","title":"Pengawasan Pengelolaan Keuangan Negara Terhadap Badan Usaha Milik Negara (BUMN)","volume":"1","author":[{"family":"Asri Putri","given":"Tiyas"},{"family":"Herning Sitabuana","given":"Tundjung"}],"issued":{"date-parts":[["2022",5,19]]}}}],"schema":"https://github.com/citation-style-language/schema/raw/master/csl-citation.json"}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cs="Calibri"/>
        </w:rPr>
        <w:t xml:space="preserve">Tiyas Asri Putri and Tundjung Herning Sitabuana, “Pengawasan Pengelolaan Keuangan Negara Terhadap Badan Usaha Milik Negara (BUMN),” </w:t>
      </w:r>
      <w:r w:rsidRPr="00026EF7">
        <w:rPr>
          <w:rFonts w:ascii="Palatino Linotype" w:hAnsi="Palatino Linotype" w:cs="Calibri"/>
          <w:i/>
          <w:iCs/>
        </w:rPr>
        <w:t>SIBATIK JOURNAL: Jurnal Ilmiah Bidang Sosial, Ekonomi, Budaya, Teknologi, dan Pendidikan</w:t>
      </w:r>
      <w:r w:rsidRPr="00026EF7">
        <w:rPr>
          <w:rFonts w:ascii="Palatino Linotype" w:hAnsi="Palatino Linotype" w:cs="Calibri"/>
        </w:rPr>
        <w:t xml:space="preserve"> 1, no. 7 (2022): 1003–18, https://doi.org/10.54443/sibatik.v1i7.118.</w:t>
      </w:r>
      <w:r w:rsidRPr="00026EF7">
        <w:rPr>
          <w:rFonts w:ascii="Palatino Linotype" w:hAnsi="Palatino Linotype"/>
        </w:rPr>
        <w:fldChar w:fldCharType="end"/>
      </w:r>
    </w:p>
  </w:footnote>
  <w:footnote w:id="19">
    <w:p w14:paraId="0AE9DD64" w14:textId="33ADD44E" w:rsidR="000F1F54" w:rsidRPr="00026EF7" w:rsidRDefault="000F1F54" w:rsidP="000F1F54">
      <w:pPr>
        <w:pStyle w:val="FootnoteText"/>
        <w:jc w:val="both"/>
        <w:rPr>
          <w:rFonts w:ascii="Palatino Linotype" w:hAnsi="Palatino Linotype"/>
          <w:lang w:val="en-US"/>
        </w:rPr>
      </w:pPr>
      <w:r w:rsidRPr="00026EF7">
        <w:rPr>
          <w:rStyle w:val="FootnoteReference"/>
          <w:rFonts w:ascii="Palatino Linotype" w:hAnsi="Palatino Linotype"/>
        </w:rPr>
        <w:footnoteRef/>
      </w:r>
      <w:r w:rsidRPr="00026EF7">
        <w:rPr>
          <w:rFonts w:ascii="Palatino Linotype" w:hAnsi="Palatino Linotype"/>
          <w:lang w:val="en-US"/>
        </w:rPr>
        <w:t xml:space="preserve"> </w:t>
      </w:r>
      <w:r w:rsidRPr="00026EF7">
        <w:rPr>
          <w:rFonts w:ascii="Palatino Linotype" w:hAnsi="Palatino Linotype"/>
        </w:rPr>
        <w:fldChar w:fldCharType="begin"/>
      </w:r>
      <w:r w:rsidRPr="00026EF7">
        <w:rPr>
          <w:rFonts w:ascii="Palatino Linotype" w:hAnsi="Palatino Linotype"/>
          <w:lang w:val="en-US"/>
        </w:rPr>
        <w:instrText xml:space="preserve"> ADDIN ZOTERO_ITEM CSL_CITATION {"citationID":"x28T3lSs","properties":{"formattedCitation":"Nuruz Zakiyatul Mufidah, \\uc0\\u8220{}Disharmonisasi Konsep Hukum Dalam Undang-Undang Administrasi Pemerintahan di Indonesia,\\uc0\\u8221{} {\\i{}Politica: Jurnal Hukum Tata Negara dan Politik Islam} 11, no. 1 (2024): 77\\uc0\\u8211{}92, https://doi.org/10.32505/politica.v11i1.8753.","plainCitation":"Nuruz Zakiyatul Mufidah, “Disharmonisasi Konsep Hukum Dalam Undang-Undang Administrasi Pemerintahan di Indonesia,” Politica: Jurnal Hukum Tata Negara dan Politik Islam 11, no. 1 (2024): 77–92, https://doi.org/10.32505/politica.v11i1.8753.","noteIndex":19},"citationItems":[{"id":2165,"uris":["http://zotero.org/users/15305905/items/LTCZQRU4"],"itemData":{"id":2165,"type":"article-journal","abstract":"Regularity and suitability between legislations and concepts of law are commonly used very important. that's aim to ensure certainty of law. regularity and stability are called harmonization in law. The law Number 30/2014 about administrative Governance is the first law for the management of decision-making and/or actions for government officials and/or government bodies in the Indonesian government. The People's Representative Council takes 10 years to draft a law about governance administration. So, The drafting of this law should have no gaps. the drafting harmonizes with other legislations and commonly used legal concepts in Indonesian law. Therefore, it is necessary to do legal research using a statute approach and a conceptual approach. The aim of this research is so that the research results can be used to revise administrative law in the future. As A result of this research, many concepts in the administration government of law are not harmonized with other legislations and commonly used legal concepts. Firstly, administrative law concepts, secondly Court concepts, thirdly government concepts, fourthly disharmonization concepts of administration decree, and fifthly disharmonization of legal forming princips, sixty disharmonization concession concepts and then the drafting does not harmonize between norm and implementation.","container-title":"Politica: Jurnal Hukum Tata Negara dan Politik Islam","DOI":"10.32505/politica.v11i1.8753","ISSN":"2615-5745, 2477-2844","issue":"1","journalAbbreviation":"JP","language":"id","page":"77-92","source":"DOI.org (Crossref)","title":"Disharmonisasi Konsep Hukum Dalam Undang-Undang Administrasi Pemerintahan di Indonesia","volume":"11","author":[{"family":"Mufidah","given":"Nuruz Zakiyatul"}],"issued":{"date-parts":[["2024",7,4]]}}}],"schema":"https://github.com/citation-style-language/schema/raw/master/csl-citation.json"}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cs="Calibri"/>
        </w:rPr>
        <w:t xml:space="preserve">Nuruz Zakiyatul Mufidah, “Disharmonisasi Konsep Hukum Dalam Undang-Undang Administrasi Pemerintahan di Indonesia,” </w:t>
      </w:r>
      <w:r w:rsidRPr="00026EF7">
        <w:rPr>
          <w:rFonts w:ascii="Palatino Linotype" w:hAnsi="Palatino Linotype" w:cs="Calibri"/>
          <w:i/>
          <w:iCs/>
        </w:rPr>
        <w:t>Politica: Jurnal Hukum Tata Negara dan Politik Islam</w:t>
      </w:r>
      <w:r w:rsidRPr="00026EF7">
        <w:rPr>
          <w:rFonts w:ascii="Palatino Linotype" w:hAnsi="Palatino Linotype" w:cs="Calibri"/>
        </w:rPr>
        <w:t xml:space="preserve"> 11, no. 1 (2024): 77–92, https://doi.org/10.32505/politica.v11i1.8753.</w:t>
      </w:r>
      <w:r w:rsidRPr="00026EF7">
        <w:rPr>
          <w:rFonts w:ascii="Palatino Linotype" w:hAnsi="Palatino Linotype"/>
        </w:rPr>
        <w:fldChar w:fldCharType="end"/>
      </w:r>
    </w:p>
  </w:footnote>
  <w:footnote w:id="20">
    <w:p w14:paraId="3FBBB7D3" w14:textId="4D3010A6" w:rsidR="000F1F54" w:rsidRPr="00026EF7" w:rsidRDefault="000F1F54" w:rsidP="000F1F54">
      <w:pPr>
        <w:pStyle w:val="FootnoteText"/>
        <w:jc w:val="both"/>
        <w:rPr>
          <w:rFonts w:ascii="Palatino Linotype" w:hAnsi="Palatino Linotype"/>
        </w:rPr>
      </w:pPr>
      <w:r w:rsidRPr="00026EF7">
        <w:rPr>
          <w:rStyle w:val="FootnoteReference"/>
          <w:rFonts w:ascii="Palatino Linotype" w:hAnsi="Palatino Linotype"/>
        </w:rPr>
        <w:footnoteRef/>
      </w:r>
      <w:r w:rsidRPr="00026EF7">
        <w:rPr>
          <w:rFonts w:ascii="Palatino Linotype" w:hAnsi="Palatino Linotype"/>
        </w:rPr>
        <w:t xml:space="preserve"> </w:t>
      </w:r>
      <w:r w:rsidRPr="00026EF7">
        <w:rPr>
          <w:rFonts w:ascii="Palatino Linotype" w:hAnsi="Palatino Linotype"/>
        </w:rPr>
        <w:fldChar w:fldCharType="begin"/>
      </w:r>
      <w:r w:rsidRPr="00026EF7">
        <w:rPr>
          <w:rFonts w:ascii="Palatino Linotype" w:hAnsi="Palatino Linotype"/>
        </w:rPr>
        <w:instrText xml:space="preserve"> ADDIN ZOTERO_ITEM CSL_CITATION {"citationID":"v4Qp9DCN","properties":{"formattedCitation":"M. Raihan Mappuji and Lingga Wisnu Wardana, \\uc0\\u8220{}Fintech Competition Compliance: Analisis Pelaku Usaha Fintech dalam Menjalankan Program Kepatuhan Persaingan Usaha KPPU,\\uc0\\u8221{} {\\i{}Jurnal Studia Legalia} 4, no. 01 (2023): 43\\uc0\\u8211{}59, https://doi.org/10.61084/jsl.v4i01.64.","plainCitation":"M. Raihan Mappuji and Lingga Wisnu Wardana, “Fintech Competition Compliance: Analisis Pelaku Usaha Fintech dalam Menjalankan Program Kepatuhan Persaingan Usaha KPPU,” Jurnal Studia Legalia 4, no. 01 (2023): 43–59, https://doi.org/10.61084/jsl.v4i01.64.","noteIndex":20},"citationItems":[{"id":2569,"uris":["http://zotero.org/users/15305905/items/YST6PBDF"],"itemData":{"id":2569,"type":"article-journal","abstract":"The rise of Financial Technology (Fintech) has led the world to a new era of business activities. With the likes of companies to individuals utilizing fintech in private sectors and along the line of creating innovation but with those innovations comes along competition and antitrust issues. The Chairman of the Indonesian Competition Commission (KPPU) has created competition compliance programs to assure companies comply with Law Number 5 of 1999 on the Prohibition of Monopolistic Practices and Unfair Business Competitions. Through normative legal research, this study will analyze existing data, literature, and regulation regarding the role of KPPU Competition Compliance Programs in overseeing fintech companies and their obedience to existing regulations. Although the recentness of the program will lead to the lack of sources with the research thus limiting detailed and technical explanations, nonetheless the research will discuss the role of the KPPU Competition Compliance Program in ensuring companies follow the competition and antitrust regulations.","container-title":"Jurnal Studia Legalia","DOI":"10.61084/jsl.v4i01.64","ISSN":"2964-4747, 2963-4741","issue":"01","journalAbbreviation":"jsl","language":"id","page":"43-59","source":"DOI.org (Crossref)","title":"Fintech Competition Compliance: Analisis Pelaku Usaha Fintech dalam Menjalankan Program Kepatuhan Persaingan Usaha KPPU","title-short":"Fintech Competition Compliance","volume":"4","author":[{"literal":"M. Raihan Mappuji"},{"literal":"Lingga Wisnu Wardana"}],"issued":{"date-parts":[["2023",5,30]]}}}],"schema":"https://github.com/citation-style-language/schema/raw/master/csl-citation.json"}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cs="Calibri"/>
        </w:rPr>
        <w:t xml:space="preserve">M. Raihan Mappuji and Lingga Wisnu Wardana, “Fintech Competition Compliance: Analisis Pelaku Usaha Fintech dalam Menjalankan Program Kepatuhan Persaingan Usaha KPPU,” </w:t>
      </w:r>
      <w:r w:rsidRPr="00026EF7">
        <w:rPr>
          <w:rFonts w:ascii="Palatino Linotype" w:hAnsi="Palatino Linotype" w:cs="Calibri"/>
          <w:i/>
          <w:iCs/>
        </w:rPr>
        <w:t>Jurnal Studia Legalia</w:t>
      </w:r>
      <w:r w:rsidRPr="00026EF7">
        <w:rPr>
          <w:rFonts w:ascii="Palatino Linotype" w:hAnsi="Palatino Linotype" w:cs="Calibri"/>
        </w:rPr>
        <w:t xml:space="preserve"> 4, no. 01 (2023): 43–59, https://doi.org/10.61084/jsl.v4i01.64.</w:t>
      </w:r>
      <w:r w:rsidRPr="00026EF7">
        <w:rPr>
          <w:rFonts w:ascii="Palatino Linotype" w:hAnsi="Palatino Linotype"/>
        </w:rPr>
        <w:fldChar w:fldCharType="end"/>
      </w:r>
    </w:p>
  </w:footnote>
  <w:footnote w:id="21">
    <w:p w14:paraId="1F87E70E" w14:textId="36D592F5" w:rsidR="000F1F54" w:rsidRPr="00026EF7" w:rsidRDefault="000F1F54" w:rsidP="000F1F54">
      <w:pPr>
        <w:pStyle w:val="FootnoteText"/>
        <w:jc w:val="both"/>
        <w:rPr>
          <w:rFonts w:ascii="Palatino Linotype" w:hAnsi="Palatino Linotype"/>
        </w:rPr>
      </w:pPr>
      <w:r w:rsidRPr="00026EF7">
        <w:rPr>
          <w:rStyle w:val="FootnoteReference"/>
          <w:rFonts w:ascii="Palatino Linotype" w:hAnsi="Palatino Linotype"/>
        </w:rPr>
        <w:footnoteRef/>
      </w:r>
      <w:r w:rsidRPr="00026EF7">
        <w:rPr>
          <w:rFonts w:ascii="Palatino Linotype" w:hAnsi="Palatino Linotype"/>
        </w:rPr>
        <w:t xml:space="preserve"> </w:t>
      </w:r>
      <w:r w:rsidRPr="00026EF7">
        <w:rPr>
          <w:rFonts w:ascii="Palatino Linotype" w:hAnsi="Palatino Linotype"/>
        </w:rPr>
        <w:fldChar w:fldCharType="begin"/>
      </w:r>
      <w:r w:rsidRPr="00026EF7">
        <w:rPr>
          <w:rFonts w:ascii="Palatino Linotype" w:hAnsi="Palatino Linotype"/>
        </w:rPr>
        <w:instrText xml:space="preserve"> ADDIN ZOTERO_ITEM CSL_CITATION {"citationID":"XZRH1uC4","properties":{"formattedCitation":"Huta Disyon and Kevin Bhaskara Sibarani, \\uc0\\u8220{}Keadilan sebagai Tujuan Hukum dari Hak Menguasai Negara dalam Skema Holding BUMN,\\uc0\\u8221{} {\\i{}Pancasila: Jurnal Keindonesiaan} 3, no. 2 (2023): 134\\uc0\\u8211{}48, https://doi.org/10.52738/pjk.v3i2.184.","plainCitation":"Huta Disyon and Kevin Bhaskara Sibarani, “Keadilan sebagai Tujuan Hukum dari Hak Menguasai Negara dalam Skema Holding BUMN,” Pancasila: Jurnal Keindonesiaan 3, no. 2 (2023): 134–48, https://doi.org/10.52738/pjk.v3i2.184.","noteIndex":21},"citationItems":[{"id":4491,"uris":["http://zotero.org/users/15305905/items/SQWY4GP8"],"itemData":{"id":4491,"type":"article-journal","abstract":"Article 33 of the 1945 Constitution of the Republic of Indonesia is the constitutional basis for the State governingthenationaleconomy.Thestate’scontrollingrightsaremandatedbyArticle33ofthe1945Constitution,one ofwhichisrealizedthroughstate-ownedenterprises(SOE).Economicdevelopmentsonaglobalscalenecessitatethe improvementofSOEs,andthegovernment'schosenpolicystrategytoincreasethevalueandefficacyofSOEsisthe formationofholdingcompanies.Thisstudyaimstounderstandtheconceptofstatecontrolrightsinthestate-ownedholding-companies(SOHC)schemeinlightofoneofGustavRadbruch'sthreefundamentallegalvalues,namelyJustice. Thisstudyusedconceptualandstatutoryapproachesthroughthenormativejuridicalresearchmethod.Itiscarriedout byexaminingtheoriesordoctrinesandrelatedlawsandregulations,includingdecisionsoftheSupremeCourtandthe ConstitutionalCourt.TheresultsofthisstudyshowthatindicatethattheestablishmentofaSOHChas,inprinciple, metthelegalobjectivesofjustice.Thestate’scontrollingrightsneedtobewidelyunderstood,withauthoritytoformulate policiesandactionsforregulation,control,management,andsupervision.Inthemanagementfunction,theprotection ofstatecontrolintheSOHCstructurecanbecarriedoutthroughgoldenshareownership.However,statecontrolbased onasenseofsocialjusticemuststilladheretotheprinciplesofgoodcorporategovernance(GCG)instate-owned enterprises(SOEs)andcannotimplymonopolizingallnationaleconomicactivities.","container-title":"Pancasila: Jurnal Keindonesiaan","DOI":"10.52738/pjk.v3i2.184","ISSN":"2797-3018, 2797-3921","issue":"2","journalAbbreviation":"PJK","language":"id","license":"https://creativecommons.org/licenses/by-nc/4.0","page":"134-148","source":"DOI.org (Crossref)","title":"Keadilan sebagai Tujuan Hukum dari Hak Menguasai Negara dalam Skema Holding BUMN","volume":"3","author":[{"family":"Disyon","given":"Huta"},{"family":"Sibarani","given":"Kevin Bhaskara"}],"issued":{"date-parts":[["2023",10,26]]}}}],"schema":"https://github.com/citation-style-language/schema/raw/master/csl-citation.json"}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cs="Calibri"/>
        </w:rPr>
        <w:t xml:space="preserve">Huta Disyon and Kevin Bhaskara Sibarani, “Keadilan sebagai Tujuan Hukum dari Hak Menguasai Negara dalam Skema Holding BUMN,” </w:t>
      </w:r>
      <w:r w:rsidRPr="00026EF7">
        <w:rPr>
          <w:rFonts w:ascii="Palatino Linotype" w:hAnsi="Palatino Linotype" w:cs="Calibri"/>
          <w:i/>
          <w:iCs/>
        </w:rPr>
        <w:t>Pancasila: Jurnal Keindonesiaan</w:t>
      </w:r>
      <w:r w:rsidRPr="00026EF7">
        <w:rPr>
          <w:rFonts w:ascii="Palatino Linotype" w:hAnsi="Palatino Linotype" w:cs="Calibri"/>
        </w:rPr>
        <w:t xml:space="preserve"> 3, no. 2 (2023): 134–48, https://doi.org/10.52738/pjk.v3i2.184.</w:t>
      </w:r>
      <w:r w:rsidRPr="00026EF7">
        <w:rPr>
          <w:rFonts w:ascii="Palatino Linotype" w:hAnsi="Palatino Linotype"/>
        </w:rPr>
        <w:fldChar w:fldCharType="end"/>
      </w:r>
    </w:p>
  </w:footnote>
  <w:footnote w:id="22">
    <w:p w14:paraId="3BB7CFEA" w14:textId="71FD6116" w:rsidR="000F1F54" w:rsidRPr="00026EF7" w:rsidRDefault="000F1F54" w:rsidP="000F1F54">
      <w:pPr>
        <w:pStyle w:val="FootnoteText"/>
        <w:jc w:val="both"/>
        <w:rPr>
          <w:rFonts w:ascii="Palatino Linotype" w:hAnsi="Palatino Linotype"/>
        </w:rPr>
      </w:pPr>
      <w:r w:rsidRPr="00026EF7">
        <w:rPr>
          <w:rStyle w:val="FootnoteReference"/>
          <w:rFonts w:ascii="Palatino Linotype" w:hAnsi="Palatino Linotype"/>
        </w:rPr>
        <w:footnoteRef/>
      </w:r>
      <w:r w:rsidRPr="00026EF7">
        <w:rPr>
          <w:rFonts w:ascii="Palatino Linotype" w:hAnsi="Palatino Linotype"/>
        </w:rPr>
        <w:t xml:space="preserve"> </w:t>
      </w:r>
      <w:r w:rsidRPr="00026EF7">
        <w:rPr>
          <w:rFonts w:ascii="Palatino Linotype" w:hAnsi="Palatino Linotype"/>
        </w:rPr>
        <w:fldChar w:fldCharType="begin"/>
      </w:r>
      <w:r w:rsidRPr="00026EF7">
        <w:rPr>
          <w:rFonts w:ascii="Palatino Linotype" w:hAnsi="Palatino Linotype"/>
        </w:rPr>
        <w:instrText xml:space="preserve"> ADDIN ZOTERO_ITEM CSL_CITATION {"citationID":"FqYUGLsD","properties":{"formattedCitation":"Beni Darmawan Hidayat and Muhamad Hasan Sebyar, \\uc0\\u8220{}Implikasi Hukum Perpindahan Pengawasan Aset Kripto dari Bappebti ke OJK terhadap Pelaku Industri dan Investor,\\uc0\\u8221{} {\\i{}HAKIM Jurnal Ilmu Hukum dan Sosial} 2, no. 4 (2024).","plainCitation":"Beni Darmawan Hidayat and Muhamad Hasan Sebyar, “Implikasi Hukum Perpindahan Pengawasan Aset Kripto dari Bappebti ke OJK terhadap Pelaku Industri dan Investor,” HAKIM Jurnal Ilmu Hukum dan Sosial 2, no. 4 (2024).","noteIndex":22},"citationItems":[{"id":3824,"uris":["http://zotero.org/users/15305905/items/XZI3Z9HS"],"itemData":{"id":3824,"type":"article-journal","abstract":"This research discusses the legal implications for industry players and investors arising from the transition of cryptocurrency supervision in Indonesia, which involves the transfer of authority from the Commodity Futures Trading Supervisory Agency (Bappebti) to the Financial Services Authority (OJK) under the Financial Sector Development and Strengthening Law. This transfer of authority has urgency in terms of improving stability, transparency, and consumer protection in the financial sector and all types of financial assets including crypto assets to be supervised by a single body with sufficient capacity and competence. This research aims to analyze the legal implication of this change in authority for industry players and investors or consumers. This scientific research uses normative research methods, which include the statute approach as the basis for research. The findings of this research indicate that the transfer of supervisory authority over crypto assets has significant legal implications for industry players and investors alike. While this transition is expected to enhance legal certainty and consumer protection, the inherent risks associated with crypto investments, particularly market volatility, remain substantial. Therefore, prompt adaptation, improved coordination between the OJK and Bappebti, and comprehensive investor education are crucial to mitigate risks and ensure the successful implementation of the new regulations.","container-title":"HAKIM Jurnal Ilmu Hukum dan Sosial","issue":"4","language":"id","source":"Zotero","title":"Implikasi Hukum Perpindahan Pengawasan Aset Kripto dari Bappebti ke OJK terhadap Pelaku Industri dan Investor","volume":"2","author":[{"family":"Hidayat","given":"Beni Darmawan"},{"family":"Sebyar","given":"Muhamad Hasan"}],"issued":{"date-parts":[["2024"]]}}}],"schema":"https://github.com/citation-style-language/schema/raw/master/csl-citation.json"} </w:instrText>
      </w:r>
      <w:r w:rsidRPr="00026EF7">
        <w:rPr>
          <w:rFonts w:ascii="Palatino Linotype" w:hAnsi="Palatino Linotype"/>
        </w:rPr>
        <w:fldChar w:fldCharType="separate"/>
      </w:r>
      <w:r w:rsidRPr="00026EF7">
        <w:rPr>
          <w:rFonts w:ascii="Palatino Linotype" w:hAnsi="Palatino Linotype"/>
        </w:rPr>
        <w:t xml:space="preserve">Beni Darmawan Hidayat and Muhamad Hasan Sebyar, “Implikasi Hukum Perpindahan Pengawasan Aset Kripto dari Bappebti ke OJK terhadap Pelaku Industri dan Investor,” </w:t>
      </w:r>
      <w:r w:rsidRPr="00026EF7">
        <w:rPr>
          <w:rFonts w:ascii="Palatino Linotype" w:hAnsi="Palatino Linotype"/>
          <w:i/>
          <w:iCs/>
        </w:rPr>
        <w:t>HAKIM Jurnal Ilmu Hukum dan Sosial</w:t>
      </w:r>
      <w:r w:rsidRPr="00026EF7">
        <w:rPr>
          <w:rFonts w:ascii="Palatino Linotype" w:hAnsi="Palatino Linotype"/>
        </w:rPr>
        <w:t xml:space="preserve"> 2, no. 4 (2024).</w:t>
      </w:r>
      <w:r w:rsidRPr="00026EF7">
        <w:rPr>
          <w:rFonts w:ascii="Palatino Linotype" w:hAnsi="Palatino Linotype"/>
        </w:rPr>
        <w:fldChar w:fldCharType="end"/>
      </w:r>
    </w:p>
  </w:footnote>
  <w:footnote w:id="23">
    <w:p w14:paraId="15B016F5" w14:textId="77777777" w:rsidR="000F1F54" w:rsidRPr="00026EF7" w:rsidRDefault="000F1F54" w:rsidP="000F1F54">
      <w:pPr>
        <w:pStyle w:val="FootnoteText"/>
        <w:jc w:val="both"/>
        <w:rPr>
          <w:rFonts w:ascii="Palatino Linotype" w:hAnsi="Palatino Linotype"/>
        </w:rPr>
      </w:pPr>
      <w:r w:rsidRPr="00026EF7">
        <w:rPr>
          <w:rStyle w:val="FootnoteReference"/>
          <w:rFonts w:ascii="Palatino Linotype" w:hAnsi="Palatino Linotype"/>
          <w:sz w:val="18"/>
          <w:szCs w:val="18"/>
        </w:rPr>
        <w:footnoteRef/>
      </w:r>
      <w:r w:rsidRPr="00026EF7">
        <w:rPr>
          <w:rFonts w:ascii="Palatino Linotype" w:hAnsi="Palatino Linotype"/>
          <w:sz w:val="18"/>
          <w:szCs w:val="18"/>
        </w:rPr>
        <w:t xml:space="preserve"> </w:t>
      </w:r>
      <w:r w:rsidRPr="00026EF7">
        <w:rPr>
          <w:rFonts w:ascii="Palatino Linotype" w:hAnsi="Palatino Linotype"/>
        </w:rPr>
        <w:t xml:space="preserve">Prof. Dr. Ningrum Natasya </w:t>
      </w:r>
      <w:proofErr w:type="spellStart"/>
      <w:r w:rsidRPr="00026EF7">
        <w:rPr>
          <w:rFonts w:ascii="Palatino Linotype" w:hAnsi="Palatino Linotype"/>
        </w:rPr>
        <w:t>Sirait</w:t>
      </w:r>
      <w:proofErr w:type="spellEnd"/>
      <w:r w:rsidRPr="00026EF7">
        <w:rPr>
          <w:rFonts w:ascii="Palatino Linotype" w:hAnsi="Palatino Linotype"/>
        </w:rPr>
        <w:t xml:space="preserve">, op. cit. (Monopoli </w:t>
      </w:r>
      <w:proofErr w:type="spellStart"/>
      <w:r w:rsidRPr="00026EF7">
        <w:rPr>
          <w:rFonts w:ascii="Palatino Linotype" w:hAnsi="Palatino Linotype"/>
        </w:rPr>
        <w:t>Kewenangan</w:t>
      </w:r>
      <w:proofErr w:type="spellEnd"/>
      <w:r w:rsidRPr="00026EF7">
        <w:rPr>
          <w:rFonts w:ascii="Palatino Linotype" w:hAnsi="Palatino Linotype"/>
        </w:rPr>
        <w:t xml:space="preserve"> </w:t>
      </w:r>
      <w:proofErr w:type="spellStart"/>
      <w:r w:rsidRPr="00026EF7">
        <w:rPr>
          <w:rFonts w:ascii="Palatino Linotype" w:hAnsi="Palatino Linotype"/>
        </w:rPr>
        <w:t>Presiden</w:t>
      </w:r>
      <w:proofErr w:type="spellEnd"/>
      <w:r w:rsidRPr="00026EF7">
        <w:rPr>
          <w:rFonts w:ascii="Palatino Linotype" w:hAnsi="Palatino Linotype"/>
        </w:rPr>
        <w:t xml:space="preserve"> </w:t>
      </w:r>
      <w:proofErr w:type="spellStart"/>
      <w:r w:rsidRPr="00026EF7">
        <w:rPr>
          <w:rFonts w:ascii="Palatino Linotype" w:hAnsi="Palatino Linotype"/>
        </w:rPr>
        <w:t>dalam</w:t>
      </w:r>
      <w:proofErr w:type="spellEnd"/>
      <w:r w:rsidRPr="00026EF7">
        <w:rPr>
          <w:rFonts w:ascii="Palatino Linotype" w:hAnsi="Palatino Linotype"/>
        </w:rPr>
        <w:t xml:space="preserve"> UU BUMN).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DC14" w14:textId="6AB35A58" w:rsidR="005E5214" w:rsidRDefault="000971F6">
    <w:pPr>
      <w:pStyle w:val="Header"/>
      <w:rPr>
        <w:noProof/>
      </w:rPr>
    </w:pPr>
    <w:r>
      <w:rPr>
        <w:noProof/>
      </w:rPr>
      <w:drawing>
        <wp:anchor distT="0" distB="0" distL="114300" distR="114300" simplePos="0" relativeHeight="251664384" behindDoc="1" locked="0" layoutInCell="1" allowOverlap="1" wp14:anchorId="1796C1F2" wp14:editId="56456213">
          <wp:simplePos x="0" y="0"/>
          <wp:positionH relativeFrom="column">
            <wp:posOffset>-942976</wp:posOffset>
          </wp:positionH>
          <wp:positionV relativeFrom="paragraph">
            <wp:posOffset>-466725</wp:posOffset>
          </wp:positionV>
          <wp:extent cx="7804491" cy="2114550"/>
          <wp:effectExtent l="0" t="0" r="6350" b="0"/>
          <wp:wrapNone/>
          <wp:docPr id="1888589739" name="Gambar 5" descr="Sebuah gambar berisi teks, logo, Font, cuplikan layar&#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89739" name="Gambar 5" descr="Sebuah gambar berisi teks, logo, Font, cuplikan layar&#10;&#10;Deskripsi dibuat secara otomatis"/>
                  <pic:cNvPicPr/>
                </pic:nvPicPr>
                <pic:blipFill>
                  <a:blip r:embed="rId1">
                    <a:extLst>
                      <a:ext uri="{28A0092B-C50C-407E-A947-70E740481C1C}">
                        <a14:useLocalDpi xmlns:a14="http://schemas.microsoft.com/office/drawing/2010/main" val="0"/>
                      </a:ext>
                    </a:extLst>
                  </a:blip>
                  <a:stretch>
                    <a:fillRect/>
                  </a:stretch>
                </pic:blipFill>
                <pic:spPr>
                  <a:xfrm>
                    <a:off x="0" y="0"/>
                    <a:ext cx="7815791" cy="2117612"/>
                  </a:xfrm>
                  <a:prstGeom prst="rect">
                    <a:avLst/>
                  </a:prstGeom>
                </pic:spPr>
              </pic:pic>
            </a:graphicData>
          </a:graphic>
          <wp14:sizeRelH relativeFrom="page">
            <wp14:pctWidth>0</wp14:pctWidth>
          </wp14:sizeRelH>
          <wp14:sizeRelV relativeFrom="page">
            <wp14:pctHeight>0</wp14:pctHeight>
          </wp14:sizeRelV>
        </wp:anchor>
      </w:drawing>
    </w:r>
  </w:p>
  <w:p w14:paraId="5EDD41D2" w14:textId="76C74FCF" w:rsidR="005E5214" w:rsidRDefault="005E5214">
    <w:pPr>
      <w:pStyle w:val="Header"/>
      <w:rPr>
        <w:noProof/>
      </w:rPr>
    </w:pPr>
  </w:p>
  <w:p w14:paraId="65B2CCA1" w14:textId="7CF0E8D7" w:rsidR="005E5214" w:rsidRDefault="005E5214">
    <w:pPr>
      <w:pStyle w:val="Header"/>
      <w:rPr>
        <w:noProof/>
      </w:rPr>
    </w:pPr>
  </w:p>
  <w:p w14:paraId="03128126" w14:textId="7C62FDBD" w:rsidR="005E5214" w:rsidRDefault="005E5214">
    <w:pPr>
      <w:pStyle w:val="Header"/>
      <w:rPr>
        <w:noProof/>
      </w:rPr>
    </w:pPr>
  </w:p>
  <w:p w14:paraId="7C608326" w14:textId="6834A1A9" w:rsidR="005E5214" w:rsidRDefault="000971F6">
    <w:pPr>
      <w:pStyle w:val="Header"/>
      <w:rPr>
        <w:noProof/>
      </w:rPr>
    </w:pPr>
    <w:r>
      <w:rPr>
        <w:noProof/>
      </w:rPr>
      <mc:AlternateContent>
        <mc:Choice Requires="wps">
          <w:drawing>
            <wp:anchor distT="0" distB="0" distL="114300" distR="114300" simplePos="0" relativeHeight="251665408" behindDoc="0" locked="0" layoutInCell="1" allowOverlap="1" wp14:anchorId="462ABF37" wp14:editId="4169E15E">
              <wp:simplePos x="0" y="0"/>
              <wp:positionH relativeFrom="column">
                <wp:posOffset>1790701</wp:posOffset>
              </wp:positionH>
              <wp:positionV relativeFrom="paragraph">
                <wp:posOffset>41910</wp:posOffset>
              </wp:positionV>
              <wp:extent cx="2590800" cy="0"/>
              <wp:effectExtent l="0" t="19050" r="19050" b="19050"/>
              <wp:wrapNone/>
              <wp:docPr id="37202336" name="Konektor Lurus 6"/>
              <wp:cNvGraphicFramePr/>
              <a:graphic xmlns:a="http://schemas.openxmlformats.org/drawingml/2006/main">
                <a:graphicData uri="http://schemas.microsoft.com/office/word/2010/wordprocessingShape">
                  <wps:wsp>
                    <wps:cNvCnPr/>
                    <wps:spPr>
                      <a:xfrm>
                        <a:off x="0" y="0"/>
                        <a:ext cx="259080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76C2A6" id="Konektor Lurus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pt,3.3pt" to="3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" strokecolor="white [3212]" strokeweight="2.25pt"/>
          </w:pict>
        </mc:Fallback>
      </mc:AlternateContent>
    </w:r>
    <w:r>
      <w:rPr>
        <w:noProof/>
      </w:rPr>
      <mc:AlternateContent>
        <mc:Choice Requires="wps">
          <w:drawing>
            <wp:anchor distT="45720" distB="45720" distL="114300" distR="114300" simplePos="0" relativeHeight="251660288" behindDoc="0" locked="0" layoutInCell="1" allowOverlap="1" wp14:anchorId="0187B669" wp14:editId="5E96AA82">
              <wp:simplePos x="0" y="0"/>
              <wp:positionH relativeFrom="column">
                <wp:posOffset>1285875</wp:posOffset>
              </wp:positionH>
              <wp:positionV relativeFrom="paragraph">
                <wp:posOffset>108585</wp:posOffset>
              </wp:positionV>
              <wp:extent cx="3505200" cy="4476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47675"/>
                      </a:xfrm>
                      <a:prstGeom prst="rect">
                        <a:avLst/>
                      </a:prstGeom>
                      <a:noFill/>
                      <a:ln w="9525">
                        <a:noFill/>
                        <a:miter lim="800000"/>
                        <a:headEnd/>
                        <a:tailEnd/>
                      </a:ln>
                    </wps:spPr>
                    <wps:txbx>
                      <w:txbxContent>
                        <w:p w14:paraId="3BBB8241" w14:textId="37253EB8" w:rsidR="005E5214" w:rsidRPr="000971F6" w:rsidRDefault="005E5214" w:rsidP="000971F6">
                          <w:pPr>
                            <w:jc w:val="center"/>
                            <w:rPr>
                              <w:rFonts w:ascii="Times New Roman" w:hAnsi="Times New Roman" w:cs="Times New Roman"/>
                              <w:color w:val="FFFFFF" w:themeColor="background1"/>
                              <w:sz w:val="28"/>
                              <w:szCs w:val="28"/>
                            </w:rPr>
                          </w:pPr>
                          <w:r w:rsidRPr="000971F6">
                            <w:rPr>
                              <w:rFonts w:ascii="Times New Roman" w:hAnsi="Times New Roman" w:cs="Times New Roman"/>
                              <w:color w:val="FFFFFF" w:themeColor="background1"/>
                              <w:sz w:val="28"/>
                              <w:szCs w:val="28"/>
                            </w:rPr>
                            <w:t xml:space="preserve">Volume </w:t>
                          </w:r>
                          <w:r w:rsidR="000F1F54">
                            <w:rPr>
                              <w:rFonts w:ascii="Times New Roman" w:hAnsi="Times New Roman" w:cs="Times New Roman"/>
                              <w:color w:val="FFFFFF" w:themeColor="background1"/>
                              <w:sz w:val="28"/>
                              <w:szCs w:val="28"/>
                            </w:rPr>
                            <w:t>2</w:t>
                          </w:r>
                          <w:r w:rsidR="00750BB9">
                            <w:rPr>
                              <w:rFonts w:ascii="Times New Roman" w:hAnsi="Times New Roman" w:cs="Times New Roman"/>
                              <w:color w:val="FFFFFF" w:themeColor="background1"/>
                              <w:sz w:val="28"/>
                              <w:szCs w:val="28"/>
                            </w:rPr>
                            <w:t xml:space="preserve"> </w:t>
                          </w:r>
                          <w:proofErr w:type="spellStart"/>
                          <w:r w:rsidR="00B02ED1" w:rsidRPr="000971F6">
                            <w:rPr>
                              <w:rFonts w:ascii="Times New Roman" w:hAnsi="Times New Roman" w:cs="Times New Roman"/>
                              <w:color w:val="FFFFFF" w:themeColor="background1"/>
                              <w:sz w:val="28"/>
                              <w:szCs w:val="28"/>
                            </w:rPr>
                            <w:t>N</w:t>
                          </w:r>
                          <w:r w:rsidR="00563CBC">
                            <w:rPr>
                              <w:rFonts w:ascii="Times New Roman" w:hAnsi="Times New Roman" w:cs="Times New Roman"/>
                              <w:color w:val="FFFFFF" w:themeColor="background1"/>
                              <w:sz w:val="28"/>
                              <w:szCs w:val="28"/>
                            </w:rPr>
                            <w:t>omor</w:t>
                          </w:r>
                          <w:proofErr w:type="spellEnd"/>
                          <w:r w:rsidR="00B02ED1" w:rsidRPr="000971F6">
                            <w:rPr>
                              <w:rFonts w:ascii="Times New Roman" w:hAnsi="Times New Roman" w:cs="Times New Roman"/>
                              <w:color w:val="FFFFFF" w:themeColor="background1"/>
                              <w:sz w:val="28"/>
                              <w:szCs w:val="28"/>
                            </w:rPr>
                            <w:t xml:space="preserve"> </w:t>
                          </w:r>
                          <w:r w:rsidR="00A5643D">
                            <w:rPr>
                              <w:rFonts w:ascii="Times New Roman" w:hAnsi="Times New Roman" w:cs="Times New Roman"/>
                              <w:color w:val="FFFFFF" w:themeColor="background1"/>
                              <w:sz w:val="28"/>
                              <w:szCs w:val="28"/>
                            </w:rPr>
                            <w:t>3</w:t>
                          </w:r>
                          <w:r w:rsidR="00750BB9">
                            <w:rPr>
                              <w:rFonts w:ascii="Times New Roman" w:hAnsi="Times New Roman" w:cs="Times New Roman"/>
                              <w:color w:val="FFFFFF" w:themeColor="background1"/>
                              <w:sz w:val="28"/>
                              <w:szCs w:val="28"/>
                            </w:rPr>
                            <w:t xml:space="preserve"> </w:t>
                          </w:r>
                          <w:r w:rsidR="00A5643D">
                            <w:rPr>
                              <w:rFonts w:ascii="Times New Roman" w:hAnsi="Times New Roman" w:cs="Times New Roman"/>
                              <w:color w:val="FFFFFF" w:themeColor="background1"/>
                              <w:sz w:val="28"/>
                              <w:szCs w:val="28"/>
                            </w:rPr>
                            <w:t>November</w:t>
                          </w:r>
                          <w:r w:rsidR="00581946">
                            <w:rPr>
                              <w:rFonts w:ascii="Times New Roman" w:hAnsi="Times New Roman" w:cs="Times New Roman"/>
                              <w:color w:val="FFFFFF" w:themeColor="background1"/>
                              <w:sz w:val="28"/>
                              <w:szCs w:val="28"/>
                            </w:rPr>
                            <w:t xml:space="preserve"> </w:t>
                          </w:r>
                          <w:r w:rsidR="000530EA" w:rsidRPr="000971F6">
                            <w:rPr>
                              <w:rFonts w:ascii="Times New Roman" w:hAnsi="Times New Roman" w:cs="Times New Roman"/>
                              <w:color w:val="FFFFFF" w:themeColor="background1"/>
                              <w:sz w:val="28"/>
                              <w:szCs w:val="28"/>
                            </w:rPr>
                            <w:t>202</w:t>
                          </w:r>
                          <w:r w:rsidR="00026EF7">
                            <w:rPr>
                              <w:rFonts w:ascii="Times New Roman" w:hAnsi="Times New Roman" w:cs="Times New Roman"/>
                              <w:color w:val="FFFFFF" w:themeColor="background1"/>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7B669" id="_x0000_t202" coordsize="21600,21600" o:spt="202" path="m,l,21600r21600,l21600,xe">
              <v:stroke joinstyle="miter"/>
              <v:path gradientshapeok="t" o:connecttype="rect"/>
            </v:shapetype>
            <v:shape id="Text Box 2" o:spid="_x0000_s1026" type="#_x0000_t202" style="position:absolute;margin-left:101.25pt;margin-top:8.55pt;width:276pt;height:3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" filled="f" stroked="f">
              <v:textbox>
                <w:txbxContent>
                  <w:p w14:paraId="3BBB8241" w14:textId="37253EB8" w:rsidR="005E5214" w:rsidRPr="000971F6" w:rsidRDefault="005E5214" w:rsidP="000971F6">
                    <w:pPr>
                      <w:jc w:val="center"/>
                      <w:rPr>
                        <w:rFonts w:ascii="Times New Roman" w:hAnsi="Times New Roman" w:cs="Times New Roman"/>
                        <w:color w:val="FFFFFF" w:themeColor="background1"/>
                        <w:sz w:val="28"/>
                        <w:szCs w:val="28"/>
                      </w:rPr>
                    </w:pPr>
                    <w:r w:rsidRPr="000971F6">
                      <w:rPr>
                        <w:rFonts w:ascii="Times New Roman" w:hAnsi="Times New Roman" w:cs="Times New Roman"/>
                        <w:color w:val="FFFFFF" w:themeColor="background1"/>
                        <w:sz w:val="28"/>
                        <w:szCs w:val="28"/>
                      </w:rPr>
                      <w:t xml:space="preserve">Volume </w:t>
                    </w:r>
                    <w:r w:rsidR="000F1F54">
                      <w:rPr>
                        <w:rFonts w:ascii="Times New Roman" w:hAnsi="Times New Roman" w:cs="Times New Roman"/>
                        <w:color w:val="FFFFFF" w:themeColor="background1"/>
                        <w:sz w:val="28"/>
                        <w:szCs w:val="28"/>
                      </w:rPr>
                      <w:t>2</w:t>
                    </w:r>
                    <w:r w:rsidR="00750BB9">
                      <w:rPr>
                        <w:rFonts w:ascii="Times New Roman" w:hAnsi="Times New Roman" w:cs="Times New Roman"/>
                        <w:color w:val="FFFFFF" w:themeColor="background1"/>
                        <w:sz w:val="28"/>
                        <w:szCs w:val="28"/>
                      </w:rPr>
                      <w:t xml:space="preserve"> </w:t>
                    </w:r>
                    <w:proofErr w:type="spellStart"/>
                    <w:r w:rsidR="00B02ED1" w:rsidRPr="000971F6">
                      <w:rPr>
                        <w:rFonts w:ascii="Times New Roman" w:hAnsi="Times New Roman" w:cs="Times New Roman"/>
                        <w:color w:val="FFFFFF" w:themeColor="background1"/>
                        <w:sz w:val="28"/>
                        <w:szCs w:val="28"/>
                      </w:rPr>
                      <w:t>N</w:t>
                    </w:r>
                    <w:r w:rsidR="00563CBC">
                      <w:rPr>
                        <w:rFonts w:ascii="Times New Roman" w:hAnsi="Times New Roman" w:cs="Times New Roman"/>
                        <w:color w:val="FFFFFF" w:themeColor="background1"/>
                        <w:sz w:val="28"/>
                        <w:szCs w:val="28"/>
                      </w:rPr>
                      <w:t>omor</w:t>
                    </w:r>
                    <w:proofErr w:type="spellEnd"/>
                    <w:r w:rsidR="00B02ED1" w:rsidRPr="000971F6">
                      <w:rPr>
                        <w:rFonts w:ascii="Times New Roman" w:hAnsi="Times New Roman" w:cs="Times New Roman"/>
                        <w:color w:val="FFFFFF" w:themeColor="background1"/>
                        <w:sz w:val="28"/>
                        <w:szCs w:val="28"/>
                      </w:rPr>
                      <w:t xml:space="preserve"> </w:t>
                    </w:r>
                    <w:r w:rsidR="00A5643D">
                      <w:rPr>
                        <w:rFonts w:ascii="Times New Roman" w:hAnsi="Times New Roman" w:cs="Times New Roman"/>
                        <w:color w:val="FFFFFF" w:themeColor="background1"/>
                        <w:sz w:val="28"/>
                        <w:szCs w:val="28"/>
                      </w:rPr>
                      <w:t>3</w:t>
                    </w:r>
                    <w:r w:rsidR="00750BB9">
                      <w:rPr>
                        <w:rFonts w:ascii="Times New Roman" w:hAnsi="Times New Roman" w:cs="Times New Roman"/>
                        <w:color w:val="FFFFFF" w:themeColor="background1"/>
                        <w:sz w:val="28"/>
                        <w:szCs w:val="28"/>
                      </w:rPr>
                      <w:t xml:space="preserve"> </w:t>
                    </w:r>
                    <w:r w:rsidR="00A5643D">
                      <w:rPr>
                        <w:rFonts w:ascii="Times New Roman" w:hAnsi="Times New Roman" w:cs="Times New Roman"/>
                        <w:color w:val="FFFFFF" w:themeColor="background1"/>
                        <w:sz w:val="28"/>
                        <w:szCs w:val="28"/>
                      </w:rPr>
                      <w:t>November</w:t>
                    </w:r>
                    <w:r w:rsidR="00581946">
                      <w:rPr>
                        <w:rFonts w:ascii="Times New Roman" w:hAnsi="Times New Roman" w:cs="Times New Roman"/>
                        <w:color w:val="FFFFFF" w:themeColor="background1"/>
                        <w:sz w:val="28"/>
                        <w:szCs w:val="28"/>
                      </w:rPr>
                      <w:t xml:space="preserve"> </w:t>
                    </w:r>
                    <w:r w:rsidR="000530EA" w:rsidRPr="000971F6">
                      <w:rPr>
                        <w:rFonts w:ascii="Times New Roman" w:hAnsi="Times New Roman" w:cs="Times New Roman"/>
                        <w:color w:val="FFFFFF" w:themeColor="background1"/>
                        <w:sz w:val="28"/>
                        <w:szCs w:val="28"/>
                      </w:rPr>
                      <w:t>202</w:t>
                    </w:r>
                    <w:r w:rsidR="00026EF7">
                      <w:rPr>
                        <w:rFonts w:ascii="Times New Roman" w:hAnsi="Times New Roman" w:cs="Times New Roman"/>
                        <w:color w:val="FFFFFF" w:themeColor="background1"/>
                        <w:sz w:val="28"/>
                        <w:szCs w:val="28"/>
                      </w:rPr>
                      <w:t>5</w:t>
                    </w:r>
                  </w:p>
                </w:txbxContent>
              </v:textbox>
              <w10:wrap type="square"/>
            </v:shape>
          </w:pict>
        </mc:Fallback>
      </mc:AlternateContent>
    </w:r>
  </w:p>
  <w:p w14:paraId="7EC56B79" w14:textId="35DFA278" w:rsidR="005E5214" w:rsidRDefault="005E5214">
    <w:pPr>
      <w:pStyle w:val="Header"/>
    </w:pPr>
  </w:p>
  <w:p w14:paraId="3029ADC4" w14:textId="68FEB523" w:rsidR="005E5214" w:rsidRDefault="005E5214">
    <w:pPr>
      <w:pStyle w:val="Header"/>
    </w:pPr>
  </w:p>
  <w:p w14:paraId="658F4A34" w14:textId="75167772" w:rsidR="005E5214" w:rsidRDefault="005E5214">
    <w:pPr>
      <w:pStyle w:val="Header"/>
    </w:pPr>
  </w:p>
  <w:p w14:paraId="66795EC3" w14:textId="4E0AFA93" w:rsidR="00630E79" w:rsidRDefault="00630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36AC" w14:textId="77777777" w:rsidR="00630E79" w:rsidRDefault="006A6828">
    <w:pPr>
      <w:pStyle w:val="Header"/>
      <w:jc w:val="center"/>
      <w:rPr>
        <w:rFonts w:ascii="Palatino Linotype" w:hAnsi="Palatino Linotype"/>
        <w:i/>
        <w:iCs/>
        <w:sz w:val="24"/>
        <w:szCs w:val="24"/>
      </w:rPr>
    </w:pPr>
    <w:r>
      <w:rPr>
        <w:rFonts w:ascii="Palatino Linotype" w:hAnsi="Palatino Linotype"/>
        <w:i/>
        <w:iCs/>
        <w:sz w:val="24"/>
        <w:szCs w:val="24"/>
      </w:rPr>
      <w:t>Article Title, lex Scientia Law Review</w:t>
    </w:r>
  </w:p>
  <w:p w14:paraId="087C5E3F" w14:textId="77777777" w:rsidR="00630E79" w:rsidRDefault="006A6828">
    <w:pPr>
      <w:pStyle w:val="Header"/>
      <w:jc w:val="center"/>
      <w:rPr>
        <w:rFonts w:ascii="Palatino Linotype" w:hAnsi="Palatino Linotype"/>
        <w:sz w:val="24"/>
        <w:szCs w:val="24"/>
      </w:rPr>
    </w:pPr>
    <w:r>
      <w:rPr>
        <w:rFonts w:ascii="Palatino Linotype" w:hAnsi="Palatino Linotype"/>
        <w:sz w:val="24"/>
        <w:szCs w:val="24"/>
      </w:rPr>
      <w:t>6 (1), May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A85B" w14:textId="76276FB5" w:rsidR="00FB667E" w:rsidRDefault="00FB667E">
    <w:pPr>
      <w:pStyle w:val="Header"/>
      <w:rPr>
        <w:noProof/>
      </w:rPr>
    </w:pPr>
  </w:p>
  <w:p w14:paraId="5E6B9442" w14:textId="77777777" w:rsidR="00FB667E" w:rsidRDefault="00FB667E">
    <w:pPr>
      <w:pStyle w:val="Header"/>
      <w:rPr>
        <w:noProof/>
      </w:rPr>
    </w:pPr>
  </w:p>
  <w:p w14:paraId="602382B7" w14:textId="77777777" w:rsidR="00FB667E" w:rsidRDefault="00FB667E">
    <w:pPr>
      <w:pStyle w:val="Header"/>
      <w:rPr>
        <w:noProof/>
      </w:rPr>
    </w:pPr>
  </w:p>
  <w:p w14:paraId="4D5A7F0C" w14:textId="77777777" w:rsidR="00FB667E" w:rsidRDefault="00FB667E">
    <w:pPr>
      <w:pStyle w:val="Header"/>
      <w:rPr>
        <w:noProof/>
      </w:rPr>
    </w:pPr>
  </w:p>
  <w:p w14:paraId="23C8BDA9" w14:textId="77777777" w:rsidR="00FB667E" w:rsidRDefault="00FB667E">
    <w:pPr>
      <w:pStyle w:val="Header"/>
      <w:rPr>
        <w:noProof/>
      </w:rPr>
    </w:pPr>
    <w:r>
      <w:rPr>
        <w:noProof/>
      </w:rPr>
      <mc:AlternateContent>
        <mc:Choice Requires="wps">
          <w:drawing>
            <wp:anchor distT="0" distB="0" distL="114300" distR="114300" simplePos="0" relativeHeight="251683840" behindDoc="0" locked="0" layoutInCell="1" allowOverlap="1" wp14:anchorId="632A05D6" wp14:editId="5E2EC75F">
              <wp:simplePos x="0" y="0"/>
              <wp:positionH relativeFrom="column">
                <wp:posOffset>1790701</wp:posOffset>
              </wp:positionH>
              <wp:positionV relativeFrom="paragraph">
                <wp:posOffset>41910</wp:posOffset>
              </wp:positionV>
              <wp:extent cx="2590800" cy="0"/>
              <wp:effectExtent l="0" t="19050" r="19050" b="19050"/>
              <wp:wrapNone/>
              <wp:docPr id="456424157" name="Konektor Lurus 6"/>
              <wp:cNvGraphicFramePr/>
              <a:graphic xmlns:a="http://schemas.openxmlformats.org/drawingml/2006/main">
                <a:graphicData uri="http://schemas.microsoft.com/office/word/2010/wordprocessingShape">
                  <wps:wsp>
                    <wps:cNvCnPr/>
                    <wps:spPr>
                      <a:xfrm>
                        <a:off x="0" y="0"/>
                        <a:ext cx="259080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1D54F7" id="Konektor Lurus 6"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pt,3.3pt" to="3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" strokecolor="white [3212]" strokeweight="2.25pt"/>
          </w:pict>
        </mc:Fallback>
      </mc:AlternateContent>
    </w:r>
    <w:r>
      <w:rPr>
        <w:noProof/>
      </w:rPr>
      <mc:AlternateContent>
        <mc:Choice Requires="wps">
          <w:drawing>
            <wp:anchor distT="45720" distB="45720" distL="114300" distR="114300" simplePos="0" relativeHeight="251681792" behindDoc="0" locked="0" layoutInCell="1" allowOverlap="1" wp14:anchorId="43A35F2E" wp14:editId="6D872F1D">
              <wp:simplePos x="0" y="0"/>
              <wp:positionH relativeFrom="column">
                <wp:posOffset>1285875</wp:posOffset>
              </wp:positionH>
              <wp:positionV relativeFrom="paragraph">
                <wp:posOffset>108585</wp:posOffset>
              </wp:positionV>
              <wp:extent cx="3505200" cy="447675"/>
              <wp:effectExtent l="0" t="0" r="0" b="0"/>
              <wp:wrapSquare wrapText="bothSides"/>
              <wp:docPr id="1658480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47675"/>
                      </a:xfrm>
                      <a:prstGeom prst="rect">
                        <a:avLst/>
                      </a:prstGeom>
                      <a:noFill/>
                      <a:ln w="9525">
                        <a:noFill/>
                        <a:miter lim="800000"/>
                        <a:headEnd/>
                        <a:tailEnd/>
                      </a:ln>
                    </wps:spPr>
                    <wps:txbx>
                      <w:txbxContent>
                        <w:p w14:paraId="77555E78" w14:textId="77777777" w:rsidR="00FB667E" w:rsidRPr="000971F6" w:rsidRDefault="00FB667E" w:rsidP="000971F6">
                          <w:pPr>
                            <w:jc w:val="center"/>
                            <w:rPr>
                              <w:rFonts w:ascii="Times New Roman" w:hAnsi="Times New Roman" w:cs="Times New Roman"/>
                              <w:color w:val="FFFFFF" w:themeColor="background1"/>
                              <w:sz w:val="28"/>
                              <w:szCs w:val="28"/>
                            </w:rPr>
                          </w:pPr>
                          <w:r w:rsidRPr="000971F6">
                            <w:rPr>
                              <w:rFonts w:ascii="Times New Roman" w:hAnsi="Times New Roman" w:cs="Times New Roman"/>
                              <w:color w:val="FFFFFF" w:themeColor="background1"/>
                              <w:sz w:val="28"/>
                              <w:szCs w:val="28"/>
                            </w:rPr>
                            <w:t xml:space="preserve">Volume </w:t>
                          </w:r>
                          <w:r>
                            <w:rPr>
                              <w:rFonts w:ascii="Times New Roman" w:hAnsi="Times New Roman" w:cs="Times New Roman"/>
                              <w:color w:val="FFFFFF" w:themeColor="background1"/>
                              <w:sz w:val="28"/>
                              <w:szCs w:val="28"/>
                            </w:rPr>
                            <w:t xml:space="preserve">1 </w:t>
                          </w:r>
                          <w:proofErr w:type="spellStart"/>
                          <w:r w:rsidRPr="000971F6">
                            <w:rPr>
                              <w:rFonts w:ascii="Times New Roman" w:hAnsi="Times New Roman" w:cs="Times New Roman"/>
                              <w:color w:val="FFFFFF" w:themeColor="background1"/>
                              <w:sz w:val="28"/>
                              <w:szCs w:val="28"/>
                            </w:rPr>
                            <w:t>N</w:t>
                          </w:r>
                          <w:r>
                            <w:rPr>
                              <w:rFonts w:ascii="Times New Roman" w:hAnsi="Times New Roman" w:cs="Times New Roman"/>
                              <w:color w:val="FFFFFF" w:themeColor="background1"/>
                              <w:sz w:val="28"/>
                              <w:szCs w:val="28"/>
                            </w:rPr>
                            <w:t>omor</w:t>
                          </w:r>
                          <w:proofErr w:type="spellEnd"/>
                          <w:r w:rsidRPr="000971F6">
                            <w:rPr>
                              <w:rFonts w:ascii="Times New Roman" w:hAnsi="Times New Roman" w:cs="Times New Roman"/>
                              <w:color w:val="FFFFFF" w:themeColor="background1"/>
                              <w:sz w:val="28"/>
                              <w:szCs w:val="28"/>
                            </w:rPr>
                            <w:t xml:space="preserve"> </w:t>
                          </w:r>
                          <w:r>
                            <w:rPr>
                              <w:rFonts w:ascii="Times New Roman" w:hAnsi="Times New Roman" w:cs="Times New Roman"/>
                              <w:color w:val="FFFFFF" w:themeColor="background1"/>
                              <w:sz w:val="28"/>
                              <w:szCs w:val="28"/>
                            </w:rPr>
                            <w:t xml:space="preserve">2 Juli </w:t>
                          </w:r>
                          <w:r w:rsidRPr="000971F6">
                            <w:rPr>
                              <w:rFonts w:ascii="Times New Roman" w:hAnsi="Times New Roman" w:cs="Times New Roman"/>
                              <w:color w:val="FFFFFF" w:themeColor="background1"/>
                              <w:sz w:val="28"/>
                              <w:szCs w:val="2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A35F2E" id="_x0000_t202" coordsize="21600,21600" o:spt="202" path="m,l,21600r21600,l21600,xe">
              <v:stroke joinstyle="miter"/>
              <v:path gradientshapeok="t" o:connecttype="rect"/>
            </v:shapetype>
            <v:shape id="_x0000_s1027" type="#_x0000_t202" style="position:absolute;margin-left:101.25pt;margin-top:8.55pt;width:276pt;height:35.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" filled="f" stroked="f">
              <v:textbox>
                <w:txbxContent>
                  <w:p w14:paraId="77555E78" w14:textId="77777777" w:rsidR="00FB667E" w:rsidRPr="000971F6" w:rsidRDefault="00FB667E" w:rsidP="000971F6">
                    <w:pPr>
                      <w:jc w:val="center"/>
                      <w:rPr>
                        <w:rFonts w:ascii="Times New Roman" w:hAnsi="Times New Roman" w:cs="Times New Roman"/>
                        <w:color w:val="FFFFFF" w:themeColor="background1"/>
                        <w:sz w:val="28"/>
                        <w:szCs w:val="28"/>
                      </w:rPr>
                    </w:pPr>
                    <w:r w:rsidRPr="000971F6">
                      <w:rPr>
                        <w:rFonts w:ascii="Times New Roman" w:hAnsi="Times New Roman" w:cs="Times New Roman"/>
                        <w:color w:val="FFFFFF" w:themeColor="background1"/>
                        <w:sz w:val="28"/>
                        <w:szCs w:val="28"/>
                      </w:rPr>
                      <w:t xml:space="preserve">Volume </w:t>
                    </w:r>
                    <w:r>
                      <w:rPr>
                        <w:rFonts w:ascii="Times New Roman" w:hAnsi="Times New Roman" w:cs="Times New Roman"/>
                        <w:color w:val="FFFFFF" w:themeColor="background1"/>
                        <w:sz w:val="28"/>
                        <w:szCs w:val="28"/>
                      </w:rPr>
                      <w:t xml:space="preserve">1 </w:t>
                    </w:r>
                    <w:proofErr w:type="spellStart"/>
                    <w:r w:rsidRPr="000971F6">
                      <w:rPr>
                        <w:rFonts w:ascii="Times New Roman" w:hAnsi="Times New Roman" w:cs="Times New Roman"/>
                        <w:color w:val="FFFFFF" w:themeColor="background1"/>
                        <w:sz w:val="28"/>
                        <w:szCs w:val="28"/>
                      </w:rPr>
                      <w:t>N</w:t>
                    </w:r>
                    <w:r>
                      <w:rPr>
                        <w:rFonts w:ascii="Times New Roman" w:hAnsi="Times New Roman" w:cs="Times New Roman"/>
                        <w:color w:val="FFFFFF" w:themeColor="background1"/>
                        <w:sz w:val="28"/>
                        <w:szCs w:val="28"/>
                      </w:rPr>
                      <w:t>omor</w:t>
                    </w:r>
                    <w:proofErr w:type="spellEnd"/>
                    <w:r w:rsidRPr="000971F6">
                      <w:rPr>
                        <w:rFonts w:ascii="Times New Roman" w:hAnsi="Times New Roman" w:cs="Times New Roman"/>
                        <w:color w:val="FFFFFF" w:themeColor="background1"/>
                        <w:sz w:val="28"/>
                        <w:szCs w:val="28"/>
                      </w:rPr>
                      <w:t xml:space="preserve"> </w:t>
                    </w:r>
                    <w:r>
                      <w:rPr>
                        <w:rFonts w:ascii="Times New Roman" w:hAnsi="Times New Roman" w:cs="Times New Roman"/>
                        <w:color w:val="FFFFFF" w:themeColor="background1"/>
                        <w:sz w:val="28"/>
                        <w:szCs w:val="28"/>
                      </w:rPr>
                      <w:t xml:space="preserve">2 Juli </w:t>
                    </w:r>
                    <w:r w:rsidRPr="000971F6">
                      <w:rPr>
                        <w:rFonts w:ascii="Times New Roman" w:hAnsi="Times New Roman" w:cs="Times New Roman"/>
                        <w:color w:val="FFFFFF" w:themeColor="background1"/>
                        <w:sz w:val="28"/>
                        <w:szCs w:val="28"/>
                      </w:rPr>
                      <w:t>2024</w:t>
                    </w:r>
                  </w:p>
                </w:txbxContent>
              </v:textbox>
              <w10:wrap type="square"/>
            </v:shape>
          </w:pict>
        </mc:Fallback>
      </mc:AlternateContent>
    </w:r>
  </w:p>
  <w:p w14:paraId="6720CF1D" w14:textId="77777777" w:rsidR="00FB667E" w:rsidRDefault="00FB667E">
    <w:pPr>
      <w:pStyle w:val="Header"/>
    </w:pPr>
  </w:p>
  <w:p w14:paraId="70B679C1" w14:textId="77777777" w:rsidR="00FB667E" w:rsidRDefault="00FB667E">
    <w:pPr>
      <w:pStyle w:val="Header"/>
    </w:pPr>
  </w:p>
  <w:p w14:paraId="2369C25F" w14:textId="77777777" w:rsidR="00FB667E" w:rsidRDefault="00FB667E">
    <w:pPr>
      <w:pStyle w:val="Header"/>
    </w:pPr>
  </w:p>
  <w:p w14:paraId="2B5287A9" w14:textId="77777777" w:rsidR="00FB667E" w:rsidRDefault="00FB66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249A" w14:textId="1A433985" w:rsidR="00E05F93" w:rsidRDefault="00E05F93">
    <w:pPr>
      <w:pStyle w:val="Header"/>
      <w:rPr>
        <w:noProof/>
      </w:rPr>
    </w:pPr>
  </w:p>
  <w:p w14:paraId="3E3609BA" w14:textId="77777777" w:rsidR="00E05F93" w:rsidRDefault="00E05F93">
    <w:pPr>
      <w:pStyle w:val="Header"/>
      <w:rPr>
        <w:noProof/>
      </w:rPr>
    </w:pPr>
  </w:p>
  <w:p w14:paraId="3A1FFFFC" w14:textId="77777777" w:rsidR="00E05F93" w:rsidRDefault="00E05F93">
    <w:pPr>
      <w:pStyle w:val="Header"/>
      <w:rPr>
        <w:noProof/>
      </w:rPr>
    </w:pPr>
  </w:p>
  <w:p w14:paraId="78AC3119" w14:textId="77777777" w:rsidR="00E05F93" w:rsidRDefault="00E05F93">
    <w:pPr>
      <w:pStyle w:val="Header"/>
      <w:rPr>
        <w:noProof/>
      </w:rPr>
    </w:pPr>
  </w:p>
  <w:p w14:paraId="00E48206" w14:textId="77777777" w:rsidR="00E05F93" w:rsidRDefault="00E05F93">
    <w:pPr>
      <w:pStyle w:val="Header"/>
      <w:rPr>
        <w:noProof/>
      </w:rPr>
    </w:pPr>
    <w:r>
      <w:rPr>
        <w:noProof/>
      </w:rPr>
      <mc:AlternateContent>
        <mc:Choice Requires="wps">
          <w:drawing>
            <wp:anchor distT="0" distB="0" distL="114300" distR="114300" simplePos="0" relativeHeight="251679744" behindDoc="0" locked="0" layoutInCell="1" allowOverlap="1" wp14:anchorId="0A60E3B3" wp14:editId="420BF290">
              <wp:simplePos x="0" y="0"/>
              <wp:positionH relativeFrom="column">
                <wp:posOffset>1790701</wp:posOffset>
              </wp:positionH>
              <wp:positionV relativeFrom="paragraph">
                <wp:posOffset>41910</wp:posOffset>
              </wp:positionV>
              <wp:extent cx="2590800" cy="0"/>
              <wp:effectExtent l="0" t="19050" r="19050" b="19050"/>
              <wp:wrapNone/>
              <wp:docPr id="154569864" name="Konektor Lurus 6"/>
              <wp:cNvGraphicFramePr/>
              <a:graphic xmlns:a="http://schemas.openxmlformats.org/drawingml/2006/main">
                <a:graphicData uri="http://schemas.microsoft.com/office/word/2010/wordprocessingShape">
                  <wps:wsp>
                    <wps:cNvCnPr/>
                    <wps:spPr>
                      <a:xfrm>
                        <a:off x="0" y="0"/>
                        <a:ext cx="259080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D40293" id="Konektor Lurus 6"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pt,3.3pt" to="3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" strokecolor="white [3212]" strokeweight="2.25pt"/>
          </w:pict>
        </mc:Fallback>
      </mc:AlternateContent>
    </w:r>
    <w:r>
      <w:rPr>
        <w:noProof/>
      </w:rPr>
      <mc:AlternateContent>
        <mc:Choice Requires="wps">
          <w:drawing>
            <wp:anchor distT="45720" distB="45720" distL="114300" distR="114300" simplePos="0" relativeHeight="251677696" behindDoc="0" locked="0" layoutInCell="1" allowOverlap="1" wp14:anchorId="5F65626A" wp14:editId="4F7D701F">
              <wp:simplePos x="0" y="0"/>
              <wp:positionH relativeFrom="column">
                <wp:posOffset>1285875</wp:posOffset>
              </wp:positionH>
              <wp:positionV relativeFrom="paragraph">
                <wp:posOffset>108585</wp:posOffset>
              </wp:positionV>
              <wp:extent cx="3505200" cy="447675"/>
              <wp:effectExtent l="0" t="0" r="0" b="0"/>
              <wp:wrapSquare wrapText="bothSides"/>
              <wp:docPr id="708485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47675"/>
                      </a:xfrm>
                      <a:prstGeom prst="rect">
                        <a:avLst/>
                      </a:prstGeom>
                      <a:noFill/>
                      <a:ln w="9525">
                        <a:noFill/>
                        <a:miter lim="800000"/>
                        <a:headEnd/>
                        <a:tailEnd/>
                      </a:ln>
                    </wps:spPr>
                    <wps:txbx>
                      <w:txbxContent>
                        <w:p w14:paraId="32666876" w14:textId="77777777" w:rsidR="00E05F93" w:rsidRPr="000971F6" w:rsidRDefault="00E05F93" w:rsidP="000971F6">
                          <w:pPr>
                            <w:jc w:val="center"/>
                            <w:rPr>
                              <w:rFonts w:ascii="Times New Roman" w:hAnsi="Times New Roman" w:cs="Times New Roman"/>
                              <w:color w:val="FFFFFF" w:themeColor="background1"/>
                              <w:sz w:val="28"/>
                              <w:szCs w:val="28"/>
                            </w:rPr>
                          </w:pPr>
                          <w:r w:rsidRPr="000971F6">
                            <w:rPr>
                              <w:rFonts w:ascii="Times New Roman" w:hAnsi="Times New Roman" w:cs="Times New Roman"/>
                              <w:color w:val="FFFFFF" w:themeColor="background1"/>
                              <w:sz w:val="28"/>
                              <w:szCs w:val="28"/>
                            </w:rPr>
                            <w:t xml:space="preserve">Volume </w:t>
                          </w:r>
                          <w:r>
                            <w:rPr>
                              <w:rFonts w:ascii="Times New Roman" w:hAnsi="Times New Roman" w:cs="Times New Roman"/>
                              <w:color w:val="FFFFFF" w:themeColor="background1"/>
                              <w:sz w:val="28"/>
                              <w:szCs w:val="28"/>
                            </w:rPr>
                            <w:t xml:space="preserve">1 </w:t>
                          </w:r>
                          <w:proofErr w:type="spellStart"/>
                          <w:r w:rsidRPr="000971F6">
                            <w:rPr>
                              <w:rFonts w:ascii="Times New Roman" w:hAnsi="Times New Roman" w:cs="Times New Roman"/>
                              <w:color w:val="FFFFFF" w:themeColor="background1"/>
                              <w:sz w:val="28"/>
                              <w:szCs w:val="28"/>
                            </w:rPr>
                            <w:t>N</w:t>
                          </w:r>
                          <w:r>
                            <w:rPr>
                              <w:rFonts w:ascii="Times New Roman" w:hAnsi="Times New Roman" w:cs="Times New Roman"/>
                              <w:color w:val="FFFFFF" w:themeColor="background1"/>
                              <w:sz w:val="28"/>
                              <w:szCs w:val="28"/>
                            </w:rPr>
                            <w:t>omor</w:t>
                          </w:r>
                          <w:proofErr w:type="spellEnd"/>
                          <w:r w:rsidRPr="000971F6">
                            <w:rPr>
                              <w:rFonts w:ascii="Times New Roman" w:hAnsi="Times New Roman" w:cs="Times New Roman"/>
                              <w:color w:val="FFFFFF" w:themeColor="background1"/>
                              <w:sz w:val="28"/>
                              <w:szCs w:val="28"/>
                            </w:rPr>
                            <w:t xml:space="preserve"> </w:t>
                          </w:r>
                          <w:r>
                            <w:rPr>
                              <w:rFonts w:ascii="Times New Roman" w:hAnsi="Times New Roman" w:cs="Times New Roman"/>
                              <w:color w:val="FFFFFF" w:themeColor="background1"/>
                              <w:sz w:val="28"/>
                              <w:szCs w:val="28"/>
                            </w:rPr>
                            <w:t xml:space="preserve">2 Juli </w:t>
                          </w:r>
                          <w:r w:rsidRPr="000971F6">
                            <w:rPr>
                              <w:rFonts w:ascii="Times New Roman" w:hAnsi="Times New Roman" w:cs="Times New Roman"/>
                              <w:color w:val="FFFFFF" w:themeColor="background1"/>
                              <w:sz w:val="28"/>
                              <w:szCs w:val="2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65626A" id="_x0000_t202" coordsize="21600,21600" o:spt="202" path="m,l,21600r21600,l21600,xe">
              <v:stroke joinstyle="miter"/>
              <v:path gradientshapeok="t" o:connecttype="rect"/>
            </v:shapetype>
            <v:shape id="_x0000_s1028" type="#_x0000_t202" style="position:absolute;margin-left:101.25pt;margin-top:8.55pt;width:276pt;height:35.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" filled="f" stroked="f">
              <v:textbox>
                <w:txbxContent>
                  <w:p w14:paraId="32666876" w14:textId="77777777" w:rsidR="00E05F93" w:rsidRPr="000971F6" w:rsidRDefault="00E05F93" w:rsidP="000971F6">
                    <w:pPr>
                      <w:jc w:val="center"/>
                      <w:rPr>
                        <w:rFonts w:ascii="Times New Roman" w:hAnsi="Times New Roman" w:cs="Times New Roman"/>
                        <w:color w:val="FFFFFF" w:themeColor="background1"/>
                        <w:sz w:val="28"/>
                        <w:szCs w:val="28"/>
                      </w:rPr>
                    </w:pPr>
                    <w:r w:rsidRPr="000971F6">
                      <w:rPr>
                        <w:rFonts w:ascii="Times New Roman" w:hAnsi="Times New Roman" w:cs="Times New Roman"/>
                        <w:color w:val="FFFFFF" w:themeColor="background1"/>
                        <w:sz w:val="28"/>
                        <w:szCs w:val="28"/>
                      </w:rPr>
                      <w:t xml:space="preserve">Volume </w:t>
                    </w:r>
                    <w:r>
                      <w:rPr>
                        <w:rFonts w:ascii="Times New Roman" w:hAnsi="Times New Roman" w:cs="Times New Roman"/>
                        <w:color w:val="FFFFFF" w:themeColor="background1"/>
                        <w:sz w:val="28"/>
                        <w:szCs w:val="28"/>
                      </w:rPr>
                      <w:t xml:space="preserve">1 </w:t>
                    </w:r>
                    <w:proofErr w:type="spellStart"/>
                    <w:r w:rsidRPr="000971F6">
                      <w:rPr>
                        <w:rFonts w:ascii="Times New Roman" w:hAnsi="Times New Roman" w:cs="Times New Roman"/>
                        <w:color w:val="FFFFFF" w:themeColor="background1"/>
                        <w:sz w:val="28"/>
                        <w:szCs w:val="28"/>
                      </w:rPr>
                      <w:t>N</w:t>
                    </w:r>
                    <w:r>
                      <w:rPr>
                        <w:rFonts w:ascii="Times New Roman" w:hAnsi="Times New Roman" w:cs="Times New Roman"/>
                        <w:color w:val="FFFFFF" w:themeColor="background1"/>
                        <w:sz w:val="28"/>
                        <w:szCs w:val="28"/>
                      </w:rPr>
                      <w:t>omor</w:t>
                    </w:r>
                    <w:proofErr w:type="spellEnd"/>
                    <w:r w:rsidRPr="000971F6">
                      <w:rPr>
                        <w:rFonts w:ascii="Times New Roman" w:hAnsi="Times New Roman" w:cs="Times New Roman"/>
                        <w:color w:val="FFFFFF" w:themeColor="background1"/>
                        <w:sz w:val="28"/>
                        <w:szCs w:val="28"/>
                      </w:rPr>
                      <w:t xml:space="preserve"> </w:t>
                    </w:r>
                    <w:r>
                      <w:rPr>
                        <w:rFonts w:ascii="Times New Roman" w:hAnsi="Times New Roman" w:cs="Times New Roman"/>
                        <w:color w:val="FFFFFF" w:themeColor="background1"/>
                        <w:sz w:val="28"/>
                        <w:szCs w:val="28"/>
                      </w:rPr>
                      <w:t xml:space="preserve">2 Juli </w:t>
                    </w:r>
                    <w:r w:rsidRPr="000971F6">
                      <w:rPr>
                        <w:rFonts w:ascii="Times New Roman" w:hAnsi="Times New Roman" w:cs="Times New Roman"/>
                        <w:color w:val="FFFFFF" w:themeColor="background1"/>
                        <w:sz w:val="28"/>
                        <w:szCs w:val="28"/>
                      </w:rPr>
                      <w:t>2024</w:t>
                    </w:r>
                  </w:p>
                </w:txbxContent>
              </v:textbox>
              <w10:wrap type="square"/>
            </v:shape>
          </w:pict>
        </mc:Fallback>
      </mc:AlternateContent>
    </w:r>
  </w:p>
  <w:p w14:paraId="595CD00F" w14:textId="77777777" w:rsidR="00E05F93" w:rsidRDefault="00E05F93">
    <w:pPr>
      <w:pStyle w:val="Header"/>
    </w:pPr>
  </w:p>
  <w:p w14:paraId="58A6ABE9" w14:textId="77777777" w:rsidR="00E05F93" w:rsidRDefault="00E05F93">
    <w:pPr>
      <w:pStyle w:val="Header"/>
    </w:pPr>
  </w:p>
  <w:p w14:paraId="0D1DF47F" w14:textId="77777777" w:rsidR="00E05F93" w:rsidRDefault="00E05F93">
    <w:pPr>
      <w:pStyle w:val="Header"/>
    </w:pPr>
  </w:p>
  <w:p w14:paraId="5139605C" w14:textId="77777777" w:rsidR="00E05F93" w:rsidRDefault="00E05F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BD13" w14:textId="77777777" w:rsidR="004018FA" w:rsidRDefault="004018FA">
    <w:pPr>
      <w:pStyle w:val="Header"/>
      <w:rPr>
        <w:noProof/>
      </w:rPr>
    </w:pPr>
  </w:p>
  <w:p w14:paraId="251B59A5" w14:textId="77777777" w:rsidR="004018FA" w:rsidRDefault="004018FA">
    <w:pPr>
      <w:pStyle w:val="Header"/>
      <w:rPr>
        <w:noProof/>
      </w:rPr>
    </w:pPr>
  </w:p>
  <w:p w14:paraId="254ADD51" w14:textId="77777777" w:rsidR="004018FA" w:rsidRDefault="004018FA">
    <w:pPr>
      <w:pStyle w:val="Header"/>
      <w:rPr>
        <w:noProof/>
      </w:rPr>
    </w:pPr>
  </w:p>
  <w:p w14:paraId="4419461D" w14:textId="77777777" w:rsidR="004018FA" w:rsidRDefault="004018FA">
    <w:pPr>
      <w:pStyle w:val="Header"/>
      <w:rPr>
        <w:noProof/>
      </w:rPr>
    </w:pPr>
  </w:p>
  <w:p w14:paraId="18A3B0A3" w14:textId="77777777" w:rsidR="004018FA" w:rsidRDefault="004018FA">
    <w:pPr>
      <w:pStyle w:val="Header"/>
      <w:rPr>
        <w:noProof/>
      </w:rPr>
    </w:pPr>
    <w:r>
      <w:rPr>
        <w:noProof/>
      </w:rPr>
      <mc:AlternateContent>
        <mc:Choice Requires="wps">
          <w:drawing>
            <wp:anchor distT="0" distB="0" distL="114300" distR="114300" simplePos="0" relativeHeight="251675648" behindDoc="0" locked="0" layoutInCell="1" allowOverlap="1" wp14:anchorId="444D3EBA" wp14:editId="626C3E49">
              <wp:simplePos x="0" y="0"/>
              <wp:positionH relativeFrom="column">
                <wp:posOffset>1790701</wp:posOffset>
              </wp:positionH>
              <wp:positionV relativeFrom="paragraph">
                <wp:posOffset>41910</wp:posOffset>
              </wp:positionV>
              <wp:extent cx="2590800" cy="0"/>
              <wp:effectExtent l="0" t="19050" r="19050" b="19050"/>
              <wp:wrapNone/>
              <wp:docPr id="141629031" name="Konektor Lurus 6"/>
              <wp:cNvGraphicFramePr/>
              <a:graphic xmlns:a="http://schemas.openxmlformats.org/drawingml/2006/main">
                <a:graphicData uri="http://schemas.microsoft.com/office/word/2010/wordprocessingShape">
                  <wps:wsp>
                    <wps:cNvCnPr/>
                    <wps:spPr>
                      <a:xfrm>
                        <a:off x="0" y="0"/>
                        <a:ext cx="259080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5A3565" id="Konektor Lurus 6"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pt,3.3pt" to="3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" strokecolor="white [3212]" strokeweight="2.25pt"/>
          </w:pict>
        </mc:Fallback>
      </mc:AlternateContent>
    </w:r>
    <w:r>
      <w:rPr>
        <w:noProof/>
      </w:rPr>
      <mc:AlternateContent>
        <mc:Choice Requires="wps">
          <w:drawing>
            <wp:anchor distT="45720" distB="45720" distL="114300" distR="114300" simplePos="0" relativeHeight="251674624" behindDoc="0" locked="0" layoutInCell="1" allowOverlap="1" wp14:anchorId="6D9E52C1" wp14:editId="6DD9A6F4">
              <wp:simplePos x="0" y="0"/>
              <wp:positionH relativeFrom="column">
                <wp:posOffset>1285875</wp:posOffset>
              </wp:positionH>
              <wp:positionV relativeFrom="paragraph">
                <wp:posOffset>108585</wp:posOffset>
              </wp:positionV>
              <wp:extent cx="3505200" cy="447675"/>
              <wp:effectExtent l="0" t="0" r="0" b="0"/>
              <wp:wrapSquare wrapText="bothSides"/>
              <wp:docPr id="1423080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47675"/>
                      </a:xfrm>
                      <a:prstGeom prst="rect">
                        <a:avLst/>
                      </a:prstGeom>
                      <a:noFill/>
                      <a:ln w="9525">
                        <a:noFill/>
                        <a:miter lim="800000"/>
                        <a:headEnd/>
                        <a:tailEnd/>
                      </a:ln>
                    </wps:spPr>
                    <wps:txbx>
                      <w:txbxContent>
                        <w:p w14:paraId="4D253E1C" w14:textId="77777777" w:rsidR="004018FA" w:rsidRPr="000971F6" w:rsidRDefault="004018FA" w:rsidP="000971F6">
                          <w:pPr>
                            <w:jc w:val="center"/>
                            <w:rPr>
                              <w:rFonts w:ascii="Times New Roman" w:hAnsi="Times New Roman" w:cs="Times New Roman"/>
                              <w:color w:val="FFFFFF" w:themeColor="background1"/>
                              <w:sz w:val="28"/>
                              <w:szCs w:val="28"/>
                            </w:rPr>
                          </w:pPr>
                          <w:r w:rsidRPr="000971F6">
                            <w:rPr>
                              <w:rFonts w:ascii="Times New Roman" w:hAnsi="Times New Roman" w:cs="Times New Roman"/>
                              <w:color w:val="FFFFFF" w:themeColor="background1"/>
                              <w:sz w:val="28"/>
                              <w:szCs w:val="28"/>
                            </w:rPr>
                            <w:t xml:space="preserve">Volume </w:t>
                          </w:r>
                          <w:r>
                            <w:rPr>
                              <w:rFonts w:ascii="Times New Roman" w:hAnsi="Times New Roman" w:cs="Times New Roman"/>
                              <w:color w:val="FFFFFF" w:themeColor="background1"/>
                              <w:sz w:val="28"/>
                              <w:szCs w:val="28"/>
                            </w:rPr>
                            <w:t xml:space="preserve">X </w:t>
                          </w:r>
                          <w:r w:rsidRPr="000971F6">
                            <w:rPr>
                              <w:rFonts w:ascii="Times New Roman" w:hAnsi="Times New Roman" w:cs="Times New Roman"/>
                              <w:color w:val="FFFFFF" w:themeColor="background1"/>
                              <w:sz w:val="28"/>
                              <w:szCs w:val="28"/>
                            </w:rPr>
                            <w:t xml:space="preserve">Number </w:t>
                          </w:r>
                          <w:r>
                            <w:rPr>
                              <w:rFonts w:ascii="Times New Roman" w:hAnsi="Times New Roman" w:cs="Times New Roman"/>
                              <w:color w:val="FFFFFF" w:themeColor="background1"/>
                              <w:sz w:val="28"/>
                              <w:szCs w:val="28"/>
                            </w:rPr>
                            <w:t xml:space="preserve">X </w:t>
                          </w:r>
                          <w:r w:rsidRPr="000971F6">
                            <w:rPr>
                              <w:rFonts w:ascii="Times New Roman" w:hAnsi="Times New Roman" w:cs="Times New Roman"/>
                              <w:color w:val="FFFFFF" w:themeColor="background1"/>
                              <w:sz w:val="28"/>
                              <w:szCs w:val="28"/>
                            </w:rPr>
                            <w:t>Maret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9E52C1" id="_x0000_t202" coordsize="21600,21600" o:spt="202" path="m,l,21600r21600,l21600,xe">
              <v:stroke joinstyle="miter"/>
              <v:path gradientshapeok="t" o:connecttype="rect"/>
            </v:shapetype>
            <v:shape id="_x0000_s1029" type="#_x0000_t202" style="position:absolute;margin-left:101.25pt;margin-top:8.55pt;width:276pt;height:35.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" filled="f" stroked="f">
              <v:textbox>
                <w:txbxContent>
                  <w:p w14:paraId="4D253E1C" w14:textId="77777777" w:rsidR="004018FA" w:rsidRPr="000971F6" w:rsidRDefault="004018FA" w:rsidP="000971F6">
                    <w:pPr>
                      <w:jc w:val="center"/>
                      <w:rPr>
                        <w:rFonts w:ascii="Times New Roman" w:hAnsi="Times New Roman" w:cs="Times New Roman"/>
                        <w:color w:val="FFFFFF" w:themeColor="background1"/>
                        <w:sz w:val="28"/>
                        <w:szCs w:val="28"/>
                      </w:rPr>
                    </w:pPr>
                    <w:r w:rsidRPr="000971F6">
                      <w:rPr>
                        <w:rFonts w:ascii="Times New Roman" w:hAnsi="Times New Roman" w:cs="Times New Roman"/>
                        <w:color w:val="FFFFFF" w:themeColor="background1"/>
                        <w:sz w:val="28"/>
                        <w:szCs w:val="28"/>
                      </w:rPr>
                      <w:t xml:space="preserve">Volume </w:t>
                    </w:r>
                    <w:r>
                      <w:rPr>
                        <w:rFonts w:ascii="Times New Roman" w:hAnsi="Times New Roman" w:cs="Times New Roman"/>
                        <w:color w:val="FFFFFF" w:themeColor="background1"/>
                        <w:sz w:val="28"/>
                        <w:szCs w:val="28"/>
                      </w:rPr>
                      <w:t xml:space="preserve">X </w:t>
                    </w:r>
                    <w:r w:rsidRPr="000971F6">
                      <w:rPr>
                        <w:rFonts w:ascii="Times New Roman" w:hAnsi="Times New Roman" w:cs="Times New Roman"/>
                        <w:color w:val="FFFFFF" w:themeColor="background1"/>
                        <w:sz w:val="28"/>
                        <w:szCs w:val="28"/>
                      </w:rPr>
                      <w:t xml:space="preserve">Number </w:t>
                    </w:r>
                    <w:r>
                      <w:rPr>
                        <w:rFonts w:ascii="Times New Roman" w:hAnsi="Times New Roman" w:cs="Times New Roman"/>
                        <w:color w:val="FFFFFF" w:themeColor="background1"/>
                        <w:sz w:val="28"/>
                        <w:szCs w:val="28"/>
                      </w:rPr>
                      <w:t xml:space="preserve">X </w:t>
                    </w:r>
                    <w:r w:rsidRPr="000971F6">
                      <w:rPr>
                        <w:rFonts w:ascii="Times New Roman" w:hAnsi="Times New Roman" w:cs="Times New Roman"/>
                        <w:color w:val="FFFFFF" w:themeColor="background1"/>
                        <w:sz w:val="28"/>
                        <w:szCs w:val="28"/>
                      </w:rPr>
                      <w:t>Maret 2024</w:t>
                    </w:r>
                  </w:p>
                </w:txbxContent>
              </v:textbox>
              <w10:wrap type="square"/>
            </v:shape>
          </w:pict>
        </mc:Fallback>
      </mc:AlternateContent>
    </w:r>
  </w:p>
  <w:p w14:paraId="5ABC187B" w14:textId="77777777" w:rsidR="004018FA" w:rsidRDefault="004018FA">
    <w:pPr>
      <w:pStyle w:val="Header"/>
    </w:pPr>
  </w:p>
  <w:p w14:paraId="7D041A85" w14:textId="77777777" w:rsidR="004018FA" w:rsidRDefault="004018FA">
    <w:pPr>
      <w:pStyle w:val="Header"/>
    </w:pPr>
  </w:p>
  <w:p w14:paraId="217A597A" w14:textId="77777777" w:rsidR="004018FA" w:rsidRDefault="004018FA">
    <w:pPr>
      <w:pStyle w:val="Header"/>
    </w:pPr>
  </w:p>
  <w:p w14:paraId="6DC76C38" w14:textId="77777777" w:rsidR="004018FA" w:rsidRDefault="004018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7390" w14:textId="6B2E9EF9" w:rsidR="00495BFB" w:rsidRDefault="00495BFB">
    <w:pPr>
      <w:pStyle w:val="Header"/>
      <w:rPr>
        <w:noProof/>
      </w:rPr>
    </w:pPr>
  </w:p>
  <w:p w14:paraId="5D3F020D" w14:textId="77777777" w:rsidR="00495BFB" w:rsidRDefault="00495BFB">
    <w:pPr>
      <w:pStyle w:val="Header"/>
      <w:rPr>
        <w:noProof/>
      </w:rPr>
    </w:pPr>
  </w:p>
  <w:p w14:paraId="553E830A" w14:textId="77777777" w:rsidR="00495BFB" w:rsidRDefault="00495BFB">
    <w:pPr>
      <w:pStyle w:val="Header"/>
      <w:rPr>
        <w:noProof/>
      </w:rPr>
    </w:pPr>
  </w:p>
  <w:p w14:paraId="5A35FA10" w14:textId="77777777" w:rsidR="00495BFB" w:rsidRDefault="00495BFB">
    <w:pPr>
      <w:pStyle w:val="Header"/>
      <w:rPr>
        <w:noProof/>
      </w:rPr>
    </w:pPr>
  </w:p>
  <w:p w14:paraId="63C71313" w14:textId="77777777" w:rsidR="00495BFB" w:rsidRDefault="00495BFB">
    <w:pPr>
      <w:pStyle w:val="Header"/>
      <w:rPr>
        <w:noProof/>
      </w:rPr>
    </w:pPr>
    <w:r>
      <w:rPr>
        <w:noProof/>
      </w:rPr>
      <mc:AlternateContent>
        <mc:Choice Requires="wps">
          <w:drawing>
            <wp:anchor distT="0" distB="0" distL="114300" distR="114300" simplePos="0" relativeHeight="251669504" behindDoc="0" locked="0" layoutInCell="1" allowOverlap="1" wp14:anchorId="78EDD26C" wp14:editId="56AE7504">
              <wp:simplePos x="0" y="0"/>
              <wp:positionH relativeFrom="column">
                <wp:posOffset>1790701</wp:posOffset>
              </wp:positionH>
              <wp:positionV relativeFrom="paragraph">
                <wp:posOffset>41910</wp:posOffset>
              </wp:positionV>
              <wp:extent cx="2590800" cy="0"/>
              <wp:effectExtent l="0" t="19050" r="19050" b="19050"/>
              <wp:wrapNone/>
              <wp:docPr id="1073847300" name="Konektor Lurus 6"/>
              <wp:cNvGraphicFramePr/>
              <a:graphic xmlns:a="http://schemas.openxmlformats.org/drawingml/2006/main">
                <a:graphicData uri="http://schemas.microsoft.com/office/word/2010/wordprocessingShape">
                  <wps:wsp>
                    <wps:cNvCnPr/>
                    <wps:spPr>
                      <a:xfrm>
                        <a:off x="0" y="0"/>
                        <a:ext cx="259080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96D89E" id="Konektor Lurus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pt,3.3pt" to="3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" strokecolor="white [3212]" strokeweight="2.25pt"/>
          </w:pict>
        </mc:Fallback>
      </mc:AlternateContent>
    </w:r>
    <w:r>
      <w:rPr>
        <w:noProof/>
      </w:rPr>
      <mc:AlternateContent>
        <mc:Choice Requires="wps">
          <w:drawing>
            <wp:anchor distT="45720" distB="45720" distL="114300" distR="114300" simplePos="0" relativeHeight="251667456" behindDoc="0" locked="0" layoutInCell="1" allowOverlap="1" wp14:anchorId="7DCBF6FC" wp14:editId="14CF2E44">
              <wp:simplePos x="0" y="0"/>
              <wp:positionH relativeFrom="column">
                <wp:posOffset>1285875</wp:posOffset>
              </wp:positionH>
              <wp:positionV relativeFrom="paragraph">
                <wp:posOffset>108585</wp:posOffset>
              </wp:positionV>
              <wp:extent cx="3505200" cy="447675"/>
              <wp:effectExtent l="0" t="0" r="0" b="0"/>
              <wp:wrapSquare wrapText="bothSides"/>
              <wp:docPr id="749410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47675"/>
                      </a:xfrm>
                      <a:prstGeom prst="rect">
                        <a:avLst/>
                      </a:prstGeom>
                      <a:noFill/>
                      <a:ln w="9525">
                        <a:noFill/>
                        <a:miter lim="800000"/>
                        <a:headEnd/>
                        <a:tailEnd/>
                      </a:ln>
                    </wps:spPr>
                    <wps:txbx>
                      <w:txbxContent>
                        <w:p w14:paraId="588712C9" w14:textId="77777777" w:rsidR="00495BFB" w:rsidRPr="000971F6" w:rsidRDefault="00495BFB" w:rsidP="000971F6">
                          <w:pPr>
                            <w:jc w:val="center"/>
                            <w:rPr>
                              <w:rFonts w:ascii="Times New Roman" w:hAnsi="Times New Roman" w:cs="Times New Roman"/>
                              <w:color w:val="FFFFFF" w:themeColor="background1"/>
                              <w:sz w:val="28"/>
                              <w:szCs w:val="28"/>
                            </w:rPr>
                          </w:pPr>
                          <w:r w:rsidRPr="000971F6">
                            <w:rPr>
                              <w:rFonts w:ascii="Times New Roman" w:hAnsi="Times New Roman" w:cs="Times New Roman"/>
                              <w:color w:val="FFFFFF" w:themeColor="background1"/>
                              <w:sz w:val="28"/>
                              <w:szCs w:val="28"/>
                            </w:rPr>
                            <w:t xml:space="preserve">Volume </w:t>
                          </w:r>
                          <w:r>
                            <w:rPr>
                              <w:rFonts w:ascii="Times New Roman" w:hAnsi="Times New Roman" w:cs="Times New Roman"/>
                              <w:color w:val="FFFFFF" w:themeColor="background1"/>
                              <w:sz w:val="28"/>
                              <w:szCs w:val="28"/>
                            </w:rPr>
                            <w:t xml:space="preserve">X </w:t>
                          </w:r>
                          <w:r w:rsidRPr="000971F6">
                            <w:rPr>
                              <w:rFonts w:ascii="Times New Roman" w:hAnsi="Times New Roman" w:cs="Times New Roman"/>
                              <w:color w:val="FFFFFF" w:themeColor="background1"/>
                              <w:sz w:val="28"/>
                              <w:szCs w:val="28"/>
                            </w:rPr>
                            <w:t xml:space="preserve">Number </w:t>
                          </w:r>
                          <w:r>
                            <w:rPr>
                              <w:rFonts w:ascii="Times New Roman" w:hAnsi="Times New Roman" w:cs="Times New Roman"/>
                              <w:color w:val="FFFFFF" w:themeColor="background1"/>
                              <w:sz w:val="28"/>
                              <w:szCs w:val="28"/>
                            </w:rPr>
                            <w:t xml:space="preserve">X </w:t>
                          </w:r>
                          <w:r w:rsidRPr="000971F6">
                            <w:rPr>
                              <w:rFonts w:ascii="Times New Roman" w:hAnsi="Times New Roman" w:cs="Times New Roman"/>
                              <w:color w:val="FFFFFF" w:themeColor="background1"/>
                              <w:sz w:val="28"/>
                              <w:szCs w:val="28"/>
                            </w:rPr>
                            <w:t>Maret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BF6FC" id="_x0000_t202" coordsize="21600,21600" o:spt="202" path="m,l,21600r21600,l21600,xe">
              <v:stroke joinstyle="miter"/>
              <v:path gradientshapeok="t" o:connecttype="rect"/>
            </v:shapetype>
            <v:shape id="_x0000_s1030" type="#_x0000_t202" style="position:absolute;margin-left:101.25pt;margin-top:8.55pt;width:276pt;height:35.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" filled="f" stroked="f">
              <v:textbox>
                <w:txbxContent>
                  <w:p w14:paraId="588712C9" w14:textId="77777777" w:rsidR="00495BFB" w:rsidRPr="000971F6" w:rsidRDefault="00495BFB" w:rsidP="000971F6">
                    <w:pPr>
                      <w:jc w:val="center"/>
                      <w:rPr>
                        <w:rFonts w:ascii="Times New Roman" w:hAnsi="Times New Roman" w:cs="Times New Roman"/>
                        <w:color w:val="FFFFFF" w:themeColor="background1"/>
                        <w:sz w:val="28"/>
                        <w:szCs w:val="28"/>
                      </w:rPr>
                    </w:pPr>
                    <w:r w:rsidRPr="000971F6">
                      <w:rPr>
                        <w:rFonts w:ascii="Times New Roman" w:hAnsi="Times New Roman" w:cs="Times New Roman"/>
                        <w:color w:val="FFFFFF" w:themeColor="background1"/>
                        <w:sz w:val="28"/>
                        <w:szCs w:val="28"/>
                      </w:rPr>
                      <w:t xml:space="preserve">Volume </w:t>
                    </w:r>
                    <w:r>
                      <w:rPr>
                        <w:rFonts w:ascii="Times New Roman" w:hAnsi="Times New Roman" w:cs="Times New Roman"/>
                        <w:color w:val="FFFFFF" w:themeColor="background1"/>
                        <w:sz w:val="28"/>
                        <w:szCs w:val="28"/>
                      </w:rPr>
                      <w:t xml:space="preserve">X </w:t>
                    </w:r>
                    <w:r w:rsidRPr="000971F6">
                      <w:rPr>
                        <w:rFonts w:ascii="Times New Roman" w:hAnsi="Times New Roman" w:cs="Times New Roman"/>
                        <w:color w:val="FFFFFF" w:themeColor="background1"/>
                        <w:sz w:val="28"/>
                        <w:szCs w:val="28"/>
                      </w:rPr>
                      <w:t xml:space="preserve">Number </w:t>
                    </w:r>
                    <w:r>
                      <w:rPr>
                        <w:rFonts w:ascii="Times New Roman" w:hAnsi="Times New Roman" w:cs="Times New Roman"/>
                        <w:color w:val="FFFFFF" w:themeColor="background1"/>
                        <w:sz w:val="28"/>
                        <w:szCs w:val="28"/>
                      </w:rPr>
                      <w:t xml:space="preserve">X </w:t>
                    </w:r>
                    <w:r w:rsidRPr="000971F6">
                      <w:rPr>
                        <w:rFonts w:ascii="Times New Roman" w:hAnsi="Times New Roman" w:cs="Times New Roman"/>
                        <w:color w:val="FFFFFF" w:themeColor="background1"/>
                        <w:sz w:val="28"/>
                        <w:szCs w:val="28"/>
                      </w:rPr>
                      <w:t>Maret 2024</w:t>
                    </w:r>
                  </w:p>
                </w:txbxContent>
              </v:textbox>
              <w10:wrap type="square"/>
            </v:shape>
          </w:pict>
        </mc:Fallback>
      </mc:AlternateContent>
    </w:r>
  </w:p>
  <w:p w14:paraId="6733A2E1" w14:textId="77777777" w:rsidR="00495BFB" w:rsidRDefault="00495BFB">
    <w:pPr>
      <w:pStyle w:val="Header"/>
    </w:pPr>
  </w:p>
  <w:p w14:paraId="42FC8FEB" w14:textId="77777777" w:rsidR="00495BFB" w:rsidRDefault="00495BFB">
    <w:pPr>
      <w:pStyle w:val="Header"/>
    </w:pPr>
  </w:p>
  <w:p w14:paraId="6E29FFB6" w14:textId="77777777" w:rsidR="00495BFB" w:rsidRDefault="00495BFB">
    <w:pPr>
      <w:pStyle w:val="Header"/>
    </w:pPr>
  </w:p>
  <w:p w14:paraId="5C43E50C" w14:textId="77777777" w:rsidR="00495BFB" w:rsidRDefault="00495BF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F877" w14:textId="0A7AC139" w:rsidR="00630E79" w:rsidRPr="00FB1534" w:rsidRDefault="007E30CE">
    <w:pPr>
      <w:pStyle w:val="Header"/>
      <w:jc w:val="center"/>
      <w:rPr>
        <w:rFonts w:ascii="Palatino Linotype" w:hAnsi="Palatino Linotype"/>
        <w:b/>
        <w:bCs/>
        <w:sz w:val="26"/>
        <w:szCs w:val="26"/>
      </w:rPr>
    </w:pPr>
    <w:r>
      <w:rPr>
        <w:rFonts w:ascii="Palatino Linotype" w:hAnsi="Palatino Linotype"/>
        <w:b/>
        <w:bCs/>
        <w:sz w:val="26"/>
        <w:szCs w:val="26"/>
      </w:rPr>
      <w:t>Milthree Law Journal</w:t>
    </w:r>
  </w:p>
  <w:p w14:paraId="50B1C199" w14:textId="0484C4D7" w:rsidR="00630E79" w:rsidRPr="00FB1534" w:rsidRDefault="007E30CE">
    <w:pPr>
      <w:pStyle w:val="Header"/>
      <w:jc w:val="center"/>
      <w:rPr>
        <w:rFonts w:ascii="Palatino Linotype" w:hAnsi="Palatino Linotype"/>
        <w:sz w:val="26"/>
        <w:szCs w:val="26"/>
      </w:rPr>
    </w:pPr>
    <w:r>
      <w:rPr>
        <w:rFonts w:ascii="Palatino Linotype" w:hAnsi="Palatino Linotype"/>
        <w:sz w:val="26"/>
        <w:szCs w:val="26"/>
      </w:rPr>
      <w:t xml:space="preserve">Vol. </w:t>
    </w:r>
    <w:r w:rsidR="004018FA">
      <w:rPr>
        <w:rFonts w:ascii="Palatino Linotype" w:hAnsi="Palatino Linotype"/>
        <w:sz w:val="26"/>
        <w:szCs w:val="26"/>
      </w:rPr>
      <w:t>1</w:t>
    </w:r>
    <w:r>
      <w:rPr>
        <w:rFonts w:ascii="Palatino Linotype" w:hAnsi="Palatino Linotype"/>
        <w:sz w:val="26"/>
        <w:szCs w:val="26"/>
      </w:rPr>
      <w:t xml:space="preserve"> No. </w:t>
    </w:r>
    <w:r w:rsidR="00A5643D">
      <w:rPr>
        <w:rFonts w:ascii="Palatino Linotype" w:hAnsi="Palatino Linotype"/>
        <w:sz w:val="26"/>
        <w:szCs w:val="26"/>
      </w:rPr>
      <w:t>3</w:t>
    </w:r>
    <w:r w:rsidR="004018FA">
      <w:rPr>
        <w:rFonts w:ascii="Palatino Linotype" w:hAnsi="Palatino Linotype"/>
        <w:sz w:val="26"/>
        <w:szCs w:val="26"/>
      </w:rPr>
      <w:t xml:space="preserve"> </w:t>
    </w:r>
    <w:r w:rsidR="00A5643D">
      <w:rPr>
        <w:rFonts w:ascii="Palatino Linotype" w:hAnsi="Palatino Linotype"/>
        <w:sz w:val="26"/>
        <w:szCs w:val="26"/>
      </w:rPr>
      <w:t>November</w:t>
    </w:r>
    <w:r w:rsidR="005A1E7E">
      <w:rPr>
        <w:rFonts w:ascii="Palatino Linotype" w:hAnsi="Palatino Linotype"/>
        <w:sz w:val="26"/>
        <w:szCs w:val="26"/>
      </w:rPr>
      <w:t xml:space="preserve"> </w:t>
    </w:r>
    <w:r>
      <w:rPr>
        <w:rFonts w:ascii="Palatino Linotype" w:hAnsi="Palatino Linotype"/>
        <w:sz w:val="26"/>
        <w:szCs w:val="26"/>
      </w:rPr>
      <w:t>2024</w:t>
    </w:r>
  </w:p>
  <w:p w14:paraId="417C2535" w14:textId="52AC4B74" w:rsidR="00B02ED1" w:rsidRDefault="00B02ED1">
    <w:pPr>
      <w:pStyle w:val="Header"/>
      <w:jc w:val="center"/>
      <w:rPr>
        <w:rFonts w:ascii="Palatino Linotype" w:hAnsi="Palatino Linotype"/>
        <w:sz w:val="20"/>
        <w:szCs w:val="20"/>
      </w:rPr>
    </w:pPr>
  </w:p>
  <w:p w14:paraId="36D77BE1" w14:textId="7CB0FEF0" w:rsidR="00B02ED1" w:rsidRDefault="00B02ED1">
    <w:pPr>
      <w:pStyle w:val="Header"/>
      <w:jc w:val="center"/>
      <w:rPr>
        <w:rFonts w:ascii="Palatino Linotype" w:hAnsi="Palatino Linotype"/>
        <w:sz w:val="20"/>
        <w:szCs w:val="20"/>
      </w:rPr>
    </w:pPr>
  </w:p>
  <w:p w14:paraId="2D3128DC" w14:textId="51F95A82" w:rsidR="00B02ED1" w:rsidRDefault="00B02ED1">
    <w:pPr>
      <w:pStyle w:val="Header"/>
      <w:jc w:val="center"/>
      <w:rPr>
        <w:rFonts w:ascii="Palatino Linotype" w:hAnsi="Palatino Linotype"/>
        <w:sz w:val="20"/>
        <w:szCs w:val="20"/>
      </w:rPr>
    </w:pPr>
  </w:p>
  <w:p w14:paraId="7EE0766F" w14:textId="042C7597" w:rsidR="00B02ED1" w:rsidRDefault="00B02ED1">
    <w:pPr>
      <w:pStyle w:val="Header"/>
      <w:jc w:val="center"/>
      <w:rPr>
        <w:rFonts w:ascii="Palatino Linotype" w:hAnsi="Palatino Linotype"/>
        <w:sz w:val="20"/>
        <w:szCs w:val="20"/>
      </w:rPr>
    </w:pPr>
  </w:p>
  <w:p w14:paraId="38A7DFAC" w14:textId="1B3C9DB5" w:rsidR="00B02ED1" w:rsidRDefault="00B02ED1">
    <w:pPr>
      <w:pStyle w:val="Header"/>
      <w:jc w:val="center"/>
      <w:rPr>
        <w:rFonts w:ascii="Palatino Linotype" w:hAnsi="Palatino Linotype"/>
        <w:sz w:val="20"/>
        <w:szCs w:val="20"/>
      </w:rPr>
    </w:pPr>
  </w:p>
  <w:p w14:paraId="7F7AE285" w14:textId="77777777" w:rsidR="00B02ED1" w:rsidRDefault="00B02ED1">
    <w:pPr>
      <w:pStyle w:val="Header"/>
      <w:jc w:val="center"/>
      <w:rPr>
        <w:rFonts w:ascii="Palatino Linotype" w:hAnsi="Palatino Linotyp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B2EBD84"/>
    <w:lvl w:ilvl="0" w:tplc="39AE162E">
      <w:start w:val="1"/>
      <w:numFmt w:val="decimal"/>
      <w:lvlText w:val="%1."/>
      <w:lvlJc w:val="left"/>
      <w:pPr>
        <w:ind w:left="360" w:hanging="360"/>
      </w:pPr>
      <w:rPr>
        <w:rFonts w:ascii="Palatino Linotype" w:eastAsia="Palatino Linotype" w:hAnsi="Palatino Linotype" w:cs="Palatino Linotype" w:hint="default"/>
        <w:b/>
        <w:color w:val="00000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70AE323E"/>
    <w:lvl w:ilvl="0" w:tplc="DEF61808">
      <w:start w:val="1"/>
      <w:numFmt w:val="decimal"/>
      <w:lvlText w:val="%1."/>
      <w:lvlJc w:val="left"/>
      <w:pPr>
        <w:ind w:left="360" w:hanging="360"/>
      </w:pPr>
      <w:rPr>
        <w:rFonts w:eastAsia="Palatino Linotype" w:cs="Palatino Linotype" w:hint="default"/>
        <w:b/>
        <w:color w:val="17365D" w:themeColor="text2" w:themeShade="BF"/>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000003"/>
    <w:multiLevelType w:val="hybridMultilevel"/>
    <w:tmpl w:val="28F00CB8"/>
    <w:lvl w:ilvl="0" w:tplc="525AB4A0">
      <w:start w:val="1"/>
      <w:numFmt w:val="decimal"/>
      <w:lvlText w:val="%1."/>
      <w:lvlJc w:val="left"/>
      <w:pPr>
        <w:ind w:left="460" w:hanging="360"/>
      </w:pPr>
      <w:rPr>
        <w:rFonts w:ascii="Palatino Linotype" w:eastAsia="Palatino Linotype" w:hAnsi="Palatino Linotype" w:cs="Palatino Linotype" w:hint="default"/>
        <w:b/>
        <w:bCs/>
        <w:spacing w:val="0"/>
        <w:w w:val="100"/>
        <w:sz w:val="28"/>
        <w:szCs w:val="28"/>
        <w:lang w:val="en-US" w:eastAsia="en-US" w:bidi="ar-SA"/>
      </w:rPr>
    </w:lvl>
    <w:lvl w:ilvl="1" w:tplc="F3E6413A">
      <w:start w:val="1"/>
      <w:numFmt w:val="bullet"/>
      <w:lvlText w:val="•"/>
      <w:lvlJc w:val="left"/>
      <w:pPr>
        <w:ind w:left="1338" w:hanging="360"/>
      </w:pPr>
      <w:rPr>
        <w:rFonts w:hint="default"/>
        <w:lang w:val="en-US" w:eastAsia="en-US" w:bidi="ar-SA"/>
      </w:rPr>
    </w:lvl>
    <w:lvl w:ilvl="2" w:tplc="A8BCE21C">
      <w:start w:val="1"/>
      <w:numFmt w:val="bullet"/>
      <w:lvlText w:val="•"/>
      <w:lvlJc w:val="left"/>
      <w:pPr>
        <w:ind w:left="2217" w:hanging="360"/>
      </w:pPr>
      <w:rPr>
        <w:rFonts w:hint="default"/>
        <w:lang w:val="en-US" w:eastAsia="en-US" w:bidi="ar-SA"/>
      </w:rPr>
    </w:lvl>
    <w:lvl w:ilvl="3" w:tplc="CFE4D27E">
      <w:start w:val="1"/>
      <w:numFmt w:val="bullet"/>
      <w:lvlText w:val="•"/>
      <w:lvlJc w:val="left"/>
      <w:pPr>
        <w:ind w:left="3095" w:hanging="360"/>
      </w:pPr>
      <w:rPr>
        <w:rFonts w:hint="default"/>
        <w:lang w:val="en-US" w:eastAsia="en-US" w:bidi="ar-SA"/>
      </w:rPr>
    </w:lvl>
    <w:lvl w:ilvl="4" w:tplc="AA2853F0">
      <w:start w:val="1"/>
      <w:numFmt w:val="bullet"/>
      <w:lvlText w:val="•"/>
      <w:lvlJc w:val="left"/>
      <w:pPr>
        <w:ind w:left="3974" w:hanging="360"/>
      </w:pPr>
      <w:rPr>
        <w:rFonts w:hint="default"/>
        <w:lang w:val="en-US" w:eastAsia="en-US" w:bidi="ar-SA"/>
      </w:rPr>
    </w:lvl>
    <w:lvl w:ilvl="5" w:tplc="B2A88DDA">
      <w:start w:val="1"/>
      <w:numFmt w:val="bullet"/>
      <w:lvlText w:val="•"/>
      <w:lvlJc w:val="left"/>
      <w:pPr>
        <w:ind w:left="4853" w:hanging="360"/>
      </w:pPr>
      <w:rPr>
        <w:rFonts w:hint="default"/>
        <w:lang w:val="en-US" w:eastAsia="en-US" w:bidi="ar-SA"/>
      </w:rPr>
    </w:lvl>
    <w:lvl w:ilvl="6" w:tplc="5744611E">
      <w:start w:val="1"/>
      <w:numFmt w:val="bullet"/>
      <w:lvlText w:val="•"/>
      <w:lvlJc w:val="left"/>
      <w:pPr>
        <w:ind w:left="5731" w:hanging="360"/>
      </w:pPr>
      <w:rPr>
        <w:rFonts w:hint="default"/>
        <w:lang w:val="en-US" w:eastAsia="en-US" w:bidi="ar-SA"/>
      </w:rPr>
    </w:lvl>
    <w:lvl w:ilvl="7" w:tplc="390E5A3A">
      <w:start w:val="1"/>
      <w:numFmt w:val="bullet"/>
      <w:lvlText w:val="•"/>
      <w:lvlJc w:val="left"/>
      <w:pPr>
        <w:ind w:left="6610" w:hanging="360"/>
      </w:pPr>
      <w:rPr>
        <w:rFonts w:hint="default"/>
        <w:lang w:val="en-US" w:eastAsia="en-US" w:bidi="ar-SA"/>
      </w:rPr>
    </w:lvl>
    <w:lvl w:ilvl="8" w:tplc="C91CC556">
      <w:start w:val="1"/>
      <w:numFmt w:val="bullet"/>
      <w:lvlText w:val="•"/>
      <w:lvlJc w:val="left"/>
      <w:pPr>
        <w:ind w:left="7489" w:hanging="360"/>
      </w:pPr>
      <w:rPr>
        <w:rFonts w:hint="default"/>
        <w:lang w:val="en-US" w:eastAsia="en-US" w:bidi="ar-SA"/>
      </w:rPr>
    </w:lvl>
  </w:abstractNum>
  <w:abstractNum w:abstractNumId="3" w15:restartNumberingAfterBreak="0">
    <w:nsid w:val="00000004"/>
    <w:multiLevelType w:val="hybridMultilevel"/>
    <w:tmpl w:val="EAEAB892"/>
    <w:lvl w:ilvl="0" w:tplc="D3D06988">
      <w:start w:val="1"/>
      <w:numFmt w:val="decimal"/>
      <w:lvlText w:val="%1."/>
      <w:lvlJc w:val="left"/>
      <w:pPr>
        <w:ind w:left="720" w:hanging="360"/>
      </w:pPr>
      <w:rPr>
        <w:rFonts w:eastAsia="Palatino Linotype" w:cs="Palatino Linotype"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CE68E0B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hybridMultilevel"/>
    <w:tmpl w:val="F7ECB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0000007"/>
    <w:multiLevelType w:val="hybridMultilevel"/>
    <w:tmpl w:val="D4A6980E"/>
    <w:lvl w:ilvl="0" w:tplc="F4A4C186">
      <w:start w:val="1"/>
      <w:numFmt w:val="decimal"/>
      <w:lvlText w:val="%1."/>
      <w:lvlJc w:val="left"/>
      <w:pPr>
        <w:ind w:left="460" w:hanging="360"/>
      </w:pPr>
      <w:rPr>
        <w:rFonts w:ascii="Palatino Linotype" w:eastAsia="Palatino Linotype" w:hAnsi="Palatino Linotype" w:cs="Palatino Linotype" w:hint="default"/>
        <w:b/>
        <w:bCs/>
        <w:spacing w:val="0"/>
        <w:w w:val="100"/>
        <w:sz w:val="28"/>
        <w:szCs w:val="28"/>
        <w:lang w:val="en-US" w:eastAsia="en-US" w:bidi="ar-SA"/>
      </w:rPr>
    </w:lvl>
    <w:lvl w:ilvl="1" w:tplc="A3CC3934">
      <w:start w:val="1"/>
      <w:numFmt w:val="upperLetter"/>
      <w:lvlText w:val="%2."/>
      <w:lvlJc w:val="left"/>
      <w:pPr>
        <w:ind w:left="460" w:hanging="360"/>
      </w:pPr>
      <w:rPr>
        <w:rFonts w:ascii="Palatino Linotype" w:eastAsia="Palatino Linotype" w:hAnsi="Palatino Linotype" w:cs="Palatino Linotype" w:hint="default"/>
        <w:b/>
        <w:bCs/>
        <w:spacing w:val="-1"/>
        <w:w w:val="100"/>
        <w:sz w:val="28"/>
        <w:szCs w:val="28"/>
        <w:lang w:val="en-US" w:eastAsia="en-US" w:bidi="ar-SA"/>
      </w:rPr>
    </w:lvl>
    <w:lvl w:ilvl="2" w:tplc="12FED6B4">
      <w:start w:val="1"/>
      <w:numFmt w:val="bullet"/>
      <w:lvlText w:val="•"/>
      <w:lvlJc w:val="left"/>
      <w:pPr>
        <w:ind w:left="2217" w:hanging="360"/>
      </w:pPr>
      <w:rPr>
        <w:rFonts w:hint="default"/>
        <w:lang w:val="en-US" w:eastAsia="en-US" w:bidi="ar-SA"/>
      </w:rPr>
    </w:lvl>
    <w:lvl w:ilvl="3" w:tplc="3814A0D4">
      <w:start w:val="1"/>
      <w:numFmt w:val="bullet"/>
      <w:lvlText w:val="•"/>
      <w:lvlJc w:val="left"/>
      <w:pPr>
        <w:ind w:left="3095" w:hanging="360"/>
      </w:pPr>
      <w:rPr>
        <w:rFonts w:hint="default"/>
        <w:lang w:val="en-US" w:eastAsia="en-US" w:bidi="ar-SA"/>
      </w:rPr>
    </w:lvl>
    <w:lvl w:ilvl="4" w:tplc="95B4BBF4">
      <w:start w:val="1"/>
      <w:numFmt w:val="bullet"/>
      <w:lvlText w:val="•"/>
      <w:lvlJc w:val="left"/>
      <w:pPr>
        <w:ind w:left="3974" w:hanging="360"/>
      </w:pPr>
      <w:rPr>
        <w:rFonts w:hint="default"/>
        <w:lang w:val="en-US" w:eastAsia="en-US" w:bidi="ar-SA"/>
      </w:rPr>
    </w:lvl>
    <w:lvl w:ilvl="5" w:tplc="13F26EAE">
      <w:start w:val="1"/>
      <w:numFmt w:val="bullet"/>
      <w:lvlText w:val="•"/>
      <w:lvlJc w:val="left"/>
      <w:pPr>
        <w:ind w:left="4853" w:hanging="360"/>
      </w:pPr>
      <w:rPr>
        <w:rFonts w:hint="default"/>
        <w:lang w:val="en-US" w:eastAsia="en-US" w:bidi="ar-SA"/>
      </w:rPr>
    </w:lvl>
    <w:lvl w:ilvl="6" w:tplc="6F8E317C">
      <w:start w:val="1"/>
      <w:numFmt w:val="bullet"/>
      <w:lvlText w:val="•"/>
      <w:lvlJc w:val="left"/>
      <w:pPr>
        <w:ind w:left="5731" w:hanging="360"/>
      </w:pPr>
      <w:rPr>
        <w:rFonts w:hint="default"/>
        <w:lang w:val="en-US" w:eastAsia="en-US" w:bidi="ar-SA"/>
      </w:rPr>
    </w:lvl>
    <w:lvl w:ilvl="7" w:tplc="C1845C48">
      <w:start w:val="1"/>
      <w:numFmt w:val="bullet"/>
      <w:lvlText w:val="•"/>
      <w:lvlJc w:val="left"/>
      <w:pPr>
        <w:ind w:left="6610" w:hanging="360"/>
      </w:pPr>
      <w:rPr>
        <w:rFonts w:hint="default"/>
        <w:lang w:val="en-US" w:eastAsia="en-US" w:bidi="ar-SA"/>
      </w:rPr>
    </w:lvl>
    <w:lvl w:ilvl="8" w:tplc="AF6899C0">
      <w:start w:val="1"/>
      <w:numFmt w:val="bullet"/>
      <w:lvlText w:val="•"/>
      <w:lvlJc w:val="left"/>
      <w:pPr>
        <w:ind w:left="7489" w:hanging="360"/>
      </w:pPr>
      <w:rPr>
        <w:rFonts w:hint="default"/>
        <w:lang w:val="en-US" w:eastAsia="en-US" w:bidi="ar-SA"/>
      </w:rPr>
    </w:lvl>
  </w:abstractNum>
  <w:abstractNum w:abstractNumId="7" w15:restartNumberingAfterBreak="0">
    <w:nsid w:val="00000008"/>
    <w:multiLevelType w:val="multilevel"/>
    <w:tmpl w:val="BA92F452"/>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D8B22D1"/>
    <w:multiLevelType w:val="hybridMultilevel"/>
    <w:tmpl w:val="85D60986"/>
    <w:lvl w:ilvl="0" w:tplc="12AEEF1A">
      <w:start w:val="1"/>
      <w:numFmt w:val="lowerLetter"/>
      <w:lvlText w:val="%1."/>
      <w:lvlJc w:val="left"/>
      <w:pPr>
        <w:ind w:left="720" w:hanging="360"/>
      </w:pPr>
      <w:rPr>
        <w:rFonts w:hint="default"/>
      </w:rPr>
    </w:lvl>
    <w:lvl w:ilvl="1" w:tplc="FFFFFFFF">
      <w:start w:val="1"/>
      <w:numFmt w:val="decimal"/>
      <w:lvlText w:val="%2."/>
      <w:lvlJc w:val="left"/>
      <w:pPr>
        <w:ind w:left="1560" w:hanging="48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122C2"/>
    <w:multiLevelType w:val="hybridMultilevel"/>
    <w:tmpl w:val="F5160A82"/>
    <w:lvl w:ilvl="0" w:tplc="74A4524C">
      <w:start w:val="1"/>
      <w:numFmt w:val="lowerLetter"/>
      <w:lvlText w:val="%1."/>
      <w:lvlJc w:val="left"/>
      <w:pPr>
        <w:ind w:left="1211" w:hanging="360"/>
      </w:pPr>
      <w:rPr>
        <w:rFonts w:ascii="Times New Roman" w:eastAsia="Calibri" w:hAnsi="Times New Roman" w:cs="Times New Roman"/>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27C5721B"/>
    <w:multiLevelType w:val="hybridMultilevel"/>
    <w:tmpl w:val="A55C6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95449"/>
    <w:multiLevelType w:val="hybridMultilevel"/>
    <w:tmpl w:val="0450B17C"/>
    <w:lvl w:ilvl="0" w:tplc="E4F2A21E">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3ECF4EAE"/>
    <w:multiLevelType w:val="hybridMultilevel"/>
    <w:tmpl w:val="66263B2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43136439"/>
    <w:multiLevelType w:val="hybridMultilevel"/>
    <w:tmpl w:val="427288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02C6E30"/>
    <w:multiLevelType w:val="hybridMultilevel"/>
    <w:tmpl w:val="9A8420BA"/>
    <w:lvl w:ilvl="0" w:tplc="F2568876">
      <w:start w:val="1"/>
      <w:numFmt w:val="decimal"/>
      <w:lvlText w:val="%1."/>
      <w:lvlJc w:val="left"/>
      <w:pPr>
        <w:ind w:left="720" w:hanging="360"/>
      </w:pPr>
      <w:rPr>
        <w:rFonts w:ascii="Calibri" w:eastAsia="Calibri" w:hAnsi="Calibri" w:cs="Calibr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92BE0"/>
    <w:multiLevelType w:val="hybridMultilevel"/>
    <w:tmpl w:val="4F7CBC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13CA6"/>
    <w:multiLevelType w:val="hybridMultilevel"/>
    <w:tmpl w:val="EA683FC2"/>
    <w:lvl w:ilvl="0" w:tplc="5A887592">
      <w:start w:val="1"/>
      <w:numFmt w:val="upperLetter"/>
      <w:lvlText w:val="%1."/>
      <w:lvlJc w:val="left"/>
      <w:pPr>
        <w:ind w:left="720" w:hanging="360"/>
      </w:pPr>
      <w:rPr>
        <w:rFonts w:hint="default"/>
        <w:color w:val="17365D" w:themeColor="text2" w:themeShade="BF"/>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53087527">
    <w:abstractNumId w:val="1"/>
  </w:num>
  <w:num w:numId="2" w16cid:durableId="1693801811">
    <w:abstractNumId w:val="7"/>
  </w:num>
  <w:num w:numId="3" w16cid:durableId="400518085">
    <w:abstractNumId w:val="14"/>
  </w:num>
  <w:num w:numId="4" w16cid:durableId="748116482">
    <w:abstractNumId w:val="5"/>
  </w:num>
  <w:num w:numId="5" w16cid:durableId="1603076099">
    <w:abstractNumId w:val="0"/>
  </w:num>
  <w:num w:numId="6" w16cid:durableId="598757503">
    <w:abstractNumId w:val="4"/>
  </w:num>
  <w:num w:numId="7" w16cid:durableId="776948243">
    <w:abstractNumId w:val="2"/>
  </w:num>
  <w:num w:numId="8" w16cid:durableId="143395204">
    <w:abstractNumId w:val="6"/>
  </w:num>
  <w:num w:numId="9" w16cid:durableId="1149664464">
    <w:abstractNumId w:val="3"/>
  </w:num>
  <w:num w:numId="10" w16cid:durableId="5802198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0293618">
    <w:abstractNumId w:val="12"/>
  </w:num>
  <w:num w:numId="12" w16cid:durableId="1930389271">
    <w:abstractNumId w:val="13"/>
  </w:num>
  <w:num w:numId="13" w16cid:durableId="689064840">
    <w:abstractNumId w:val="16"/>
  </w:num>
  <w:num w:numId="14" w16cid:durableId="1192376281">
    <w:abstractNumId w:val="8"/>
  </w:num>
  <w:num w:numId="15" w16cid:durableId="1843470835">
    <w:abstractNumId w:val="10"/>
  </w:num>
  <w:num w:numId="16" w16cid:durableId="2064014165">
    <w:abstractNumId w:val="15"/>
  </w:num>
  <w:num w:numId="17" w16cid:durableId="1219438362">
    <w:abstractNumId w:val="9"/>
  </w:num>
  <w:num w:numId="18" w16cid:durableId="13972377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79"/>
    <w:rsid w:val="00013EC8"/>
    <w:rsid w:val="000143F9"/>
    <w:rsid w:val="00026EF7"/>
    <w:rsid w:val="000530EA"/>
    <w:rsid w:val="00080453"/>
    <w:rsid w:val="0008198D"/>
    <w:rsid w:val="00084DB1"/>
    <w:rsid w:val="00094FA8"/>
    <w:rsid w:val="000971F6"/>
    <w:rsid w:val="000B688F"/>
    <w:rsid w:val="000D6E29"/>
    <w:rsid w:val="000F1F54"/>
    <w:rsid w:val="00100AAC"/>
    <w:rsid w:val="00103571"/>
    <w:rsid w:val="001155D4"/>
    <w:rsid w:val="001207F0"/>
    <w:rsid w:val="0013316E"/>
    <w:rsid w:val="00145F4E"/>
    <w:rsid w:val="00156630"/>
    <w:rsid w:val="001720D8"/>
    <w:rsid w:val="00193A9D"/>
    <w:rsid w:val="00196CB7"/>
    <w:rsid w:val="001E59A8"/>
    <w:rsid w:val="001E64A2"/>
    <w:rsid w:val="0021366F"/>
    <w:rsid w:val="0021726C"/>
    <w:rsid w:val="002307DF"/>
    <w:rsid w:val="002350B3"/>
    <w:rsid w:val="0023577D"/>
    <w:rsid w:val="00242F89"/>
    <w:rsid w:val="00266E0E"/>
    <w:rsid w:val="00277467"/>
    <w:rsid w:val="00294F80"/>
    <w:rsid w:val="002B3D7E"/>
    <w:rsid w:val="002E74CB"/>
    <w:rsid w:val="0032188C"/>
    <w:rsid w:val="0034266F"/>
    <w:rsid w:val="003500A5"/>
    <w:rsid w:val="003514E2"/>
    <w:rsid w:val="00357344"/>
    <w:rsid w:val="003741C0"/>
    <w:rsid w:val="00395B1C"/>
    <w:rsid w:val="003A59B5"/>
    <w:rsid w:val="003C0550"/>
    <w:rsid w:val="003C53A3"/>
    <w:rsid w:val="004018FA"/>
    <w:rsid w:val="00466CB4"/>
    <w:rsid w:val="00491D8E"/>
    <w:rsid w:val="00495BFB"/>
    <w:rsid w:val="004A3168"/>
    <w:rsid w:val="004D718E"/>
    <w:rsid w:val="00502F97"/>
    <w:rsid w:val="00503F55"/>
    <w:rsid w:val="00546C36"/>
    <w:rsid w:val="00552FD6"/>
    <w:rsid w:val="00555A59"/>
    <w:rsid w:val="00563CBC"/>
    <w:rsid w:val="00571FEA"/>
    <w:rsid w:val="00581946"/>
    <w:rsid w:val="00581C89"/>
    <w:rsid w:val="005936E0"/>
    <w:rsid w:val="0059684E"/>
    <w:rsid w:val="005968D6"/>
    <w:rsid w:val="005A1E7E"/>
    <w:rsid w:val="005C3F12"/>
    <w:rsid w:val="005E4B53"/>
    <w:rsid w:val="005E5214"/>
    <w:rsid w:val="006159C6"/>
    <w:rsid w:val="0062263C"/>
    <w:rsid w:val="00630E79"/>
    <w:rsid w:val="0063600A"/>
    <w:rsid w:val="006506EC"/>
    <w:rsid w:val="0065410E"/>
    <w:rsid w:val="006727C2"/>
    <w:rsid w:val="006A6828"/>
    <w:rsid w:val="006B2C8D"/>
    <w:rsid w:val="0073486A"/>
    <w:rsid w:val="00750BB9"/>
    <w:rsid w:val="00763785"/>
    <w:rsid w:val="007E30CE"/>
    <w:rsid w:val="00805CB3"/>
    <w:rsid w:val="0082226D"/>
    <w:rsid w:val="0082297C"/>
    <w:rsid w:val="00863DE7"/>
    <w:rsid w:val="00897B2A"/>
    <w:rsid w:val="008A006B"/>
    <w:rsid w:val="008A4483"/>
    <w:rsid w:val="008C44B0"/>
    <w:rsid w:val="008D2A4C"/>
    <w:rsid w:val="008F4581"/>
    <w:rsid w:val="008F6DCD"/>
    <w:rsid w:val="00921F05"/>
    <w:rsid w:val="00932E71"/>
    <w:rsid w:val="0096097A"/>
    <w:rsid w:val="00977D55"/>
    <w:rsid w:val="009B0D70"/>
    <w:rsid w:val="009F1745"/>
    <w:rsid w:val="00A115EE"/>
    <w:rsid w:val="00A13AD2"/>
    <w:rsid w:val="00A33B18"/>
    <w:rsid w:val="00A5643D"/>
    <w:rsid w:val="00A73F53"/>
    <w:rsid w:val="00AA75BD"/>
    <w:rsid w:val="00AC63C1"/>
    <w:rsid w:val="00B01E25"/>
    <w:rsid w:val="00B02ED1"/>
    <w:rsid w:val="00B41E21"/>
    <w:rsid w:val="00B46330"/>
    <w:rsid w:val="00B5622E"/>
    <w:rsid w:val="00BA5B7D"/>
    <w:rsid w:val="00BC10E7"/>
    <w:rsid w:val="00C108FF"/>
    <w:rsid w:val="00C70F0C"/>
    <w:rsid w:val="00CB2B6F"/>
    <w:rsid w:val="00CF0CD9"/>
    <w:rsid w:val="00D36D5A"/>
    <w:rsid w:val="00D7522E"/>
    <w:rsid w:val="00D770F2"/>
    <w:rsid w:val="00D918A4"/>
    <w:rsid w:val="00DA1B0B"/>
    <w:rsid w:val="00DB713C"/>
    <w:rsid w:val="00DB7C04"/>
    <w:rsid w:val="00DE4364"/>
    <w:rsid w:val="00DF68E5"/>
    <w:rsid w:val="00E05F93"/>
    <w:rsid w:val="00E0707B"/>
    <w:rsid w:val="00E65CD9"/>
    <w:rsid w:val="00E76642"/>
    <w:rsid w:val="00E92048"/>
    <w:rsid w:val="00EA29B3"/>
    <w:rsid w:val="00ED4A1F"/>
    <w:rsid w:val="00EE29A4"/>
    <w:rsid w:val="00F06CED"/>
    <w:rsid w:val="00F330DA"/>
    <w:rsid w:val="00F539AE"/>
    <w:rsid w:val="00F577EE"/>
    <w:rsid w:val="00F658AE"/>
    <w:rsid w:val="00F73ABD"/>
    <w:rsid w:val="00F867E1"/>
    <w:rsid w:val="00F902BC"/>
    <w:rsid w:val="00FB1534"/>
    <w:rsid w:val="00FB667E"/>
    <w:rsid w:val="00FD290E"/>
    <w:rsid w:val="00FF27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85274"/>
  <w15:docId w15:val="{C5BBB204-07E5-45D0-ABEB-8A1290E5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34"/>
    <w:pPr>
      <w:spacing w:after="160" w:line="256" w:lineRule="auto"/>
    </w:pPr>
    <w:rPr>
      <w:rFonts w:asciiTheme="minorHAnsi" w:eastAsiaTheme="minorHAnsi" w:hAnsiTheme="minorHAnsi" w:cstheme="minorBidi"/>
      <w:lang w:val="en-ID"/>
    </w:rPr>
  </w:style>
  <w:style w:type="paragraph" w:styleId="Heading1">
    <w:name w:val="heading 1"/>
    <w:basedOn w:val="Normal"/>
    <w:link w:val="Heading1Char"/>
    <w:uiPriority w:val="9"/>
    <w:qFormat/>
    <w:pPr>
      <w:widowControl w:val="0"/>
      <w:autoSpaceDE w:val="0"/>
      <w:autoSpaceDN w:val="0"/>
      <w:spacing w:after="0" w:line="240" w:lineRule="auto"/>
      <w:ind w:left="460" w:hanging="361"/>
      <w:outlineLvl w:val="0"/>
    </w:pPr>
    <w:rPr>
      <w:rFonts w:ascii="Palatino Linotype" w:eastAsia="Palatino Linotype" w:hAnsi="Palatino Linotype" w:cs="Palatino Linotype"/>
      <w:b/>
      <w:bCs/>
      <w:sz w:val="28"/>
      <w:szCs w:val="28"/>
    </w:rPr>
  </w:style>
  <w:style w:type="paragraph" w:styleId="Heading5">
    <w:name w:val="heading 5"/>
    <w:basedOn w:val="Normal"/>
    <w:next w:val="Normal"/>
    <w:link w:val="Heading5Char"/>
    <w:uiPriority w:val="9"/>
    <w:semiHidden/>
    <w:unhideWhenUsed/>
    <w:qFormat/>
    <w:rsid w:val="000F1F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aliases w:val="Body Text Char1,Char Char2,List Paragraph1,List Paragraph11,list paragraph,List Paragraph2,kepala,Heading 2 Char1,Heading 10,Body of text,Sub Judul DEA KP,Char Char21,Header Char1,Heading 41,Bulet1,Tabel,point-point,tabel,ANNEX"/>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Pr>
      <w:rFonts w:ascii="Palatino Linotype" w:eastAsia="Palatino Linotype" w:hAnsi="Palatino Linotype" w:cs="Palatino Linotype"/>
      <w:b/>
      <w:bCs/>
      <w:sz w:val="28"/>
      <w:szCs w:val="28"/>
    </w:rPr>
  </w:style>
  <w:style w:type="paragraph" w:styleId="BodyText">
    <w:name w:val="Body Text"/>
    <w:basedOn w:val="Normal"/>
    <w:link w:val="BodyTextChar"/>
    <w:uiPriority w:val="1"/>
    <w:qFormat/>
    <w:pPr>
      <w:widowControl w:val="0"/>
      <w:autoSpaceDE w:val="0"/>
      <w:autoSpaceDN w:val="0"/>
      <w:spacing w:after="0" w:line="240" w:lineRule="auto"/>
      <w:ind w:left="100"/>
    </w:pPr>
    <w:rPr>
      <w:rFonts w:ascii="Palatino Linotype" w:eastAsia="Palatino Linotype" w:hAnsi="Palatino Linotype" w:cs="Palatino Linotype"/>
      <w:sz w:val="26"/>
      <w:szCs w:val="26"/>
    </w:rPr>
  </w:style>
  <w:style w:type="character" w:customStyle="1" w:styleId="BodyTextChar">
    <w:name w:val="Body Text Char"/>
    <w:basedOn w:val="DefaultParagraphFont"/>
    <w:link w:val="BodyText"/>
    <w:uiPriority w:val="1"/>
    <w:rPr>
      <w:rFonts w:ascii="Palatino Linotype" w:eastAsia="Palatino Linotype" w:hAnsi="Palatino Linotype" w:cs="Palatino Linotype"/>
      <w:sz w:val="26"/>
      <w:szCs w:val="26"/>
    </w:rPr>
  </w:style>
  <w:style w:type="paragraph" w:styleId="FootnoteText">
    <w:name w:val="footnote text"/>
    <w:aliases w:val="Char,Footnote Text Char1 Char,Footnote Text Char Char1 Char,Footnote Text Char1 Char Char Char,Footnote Text Char Char1 Char Char Char,Footnote Text Char Char2 Char,Footnote Text Char1 Char1,Footnote Text Char Char1 Char1,Char Char Char1"/>
    <w:basedOn w:val="Normal"/>
    <w:link w:val="FootnoteTextChar"/>
    <w:uiPriority w:val="99"/>
    <w:qFormat/>
    <w:pPr>
      <w:spacing w:after="0" w:line="240" w:lineRule="auto"/>
    </w:pPr>
    <w:rPr>
      <w:sz w:val="20"/>
      <w:szCs w:val="20"/>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Pr>
      <w:rFonts w:ascii="Calibri" w:eastAsia="Calibri" w:hAnsi="Calibri" w:cs="Calibri"/>
      <w:sz w:val="20"/>
      <w:szCs w:val="20"/>
      <w:lang w:eastAsia="en-ID"/>
    </w:rPr>
  </w:style>
  <w:style w:type="character" w:styleId="FootnoteReference">
    <w:name w:val="footnote reference"/>
    <w:aliases w:val="Footnote Text Char2, Char Char2 Char Char,Char Char2 Char Char,Footnote Reference1,Footnote Reference11,Char Char Char Char Char2,Char Char Char Char Char11,Footnote Text Char11,Char Char Char Char Char Char Char1"/>
    <w:basedOn w:val="DefaultParagraphFont"/>
    <w:uiPriority w:val="99"/>
    <w:qFormat/>
    <w:rPr>
      <w:vertAlign w:val="superscript"/>
    </w:rPr>
  </w:style>
  <w:style w:type="paragraph" w:customStyle="1" w:styleId="JEM22aBODYARTIKEL">
    <w:name w:val="JEM_2.2a BODY ARTIKEL"/>
    <w:basedOn w:val="Normal"/>
    <w:qFormat/>
    <w:rsid w:val="002E74CB"/>
    <w:pPr>
      <w:spacing w:after="0" w:line="240" w:lineRule="auto"/>
      <w:jc w:val="both"/>
    </w:pPr>
    <w:rPr>
      <w:rFonts w:ascii="Times New Roman" w:eastAsia="Times New Roman" w:hAnsi="Times New Roman" w:cs="SimSun"/>
      <w:sz w:val="24"/>
      <w:szCs w:val="24"/>
      <w:lang w:val="en-GB"/>
    </w:rPr>
  </w:style>
  <w:style w:type="character" w:styleId="Strong">
    <w:name w:val="Strong"/>
    <w:basedOn w:val="DefaultParagraphFont"/>
    <w:uiPriority w:val="22"/>
    <w:qFormat/>
    <w:rsid w:val="0059684E"/>
    <w:rPr>
      <w:b/>
      <w:bCs/>
    </w:rPr>
  </w:style>
  <w:style w:type="character" w:styleId="Emphasis">
    <w:name w:val="Emphasis"/>
    <w:basedOn w:val="DefaultParagraphFont"/>
    <w:uiPriority w:val="20"/>
    <w:qFormat/>
    <w:rsid w:val="0059684E"/>
    <w:rPr>
      <w:i/>
      <w:iCs/>
    </w:rPr>
  </w:style>
  <w:style w:type="paragraph" w:customStyle="1" w:styleId="JEM21HEADINGPENDAHULUANdll">
    <w:name w:val="JEM_2.1 HEADING (PENDAHULUAN dll)"/>
    <w:basedOn w:val="Normal"/>
    <w:qFormat/>
    <w:rsid w:val="00FB1534"/>
    <w:pPr>
      <w:spacing w:before="120" w:after="120" w:line="240" w:lineRule="auto"/>
      <w:jc w:val="both"/>
    </w:pPr>
    <w:rPr>
      <w:rFonts w:ascii="Times New Roman" w:eastAsia="Calibri" w:hAnsi="Times New Roman" w:cs="SimSun"/>
      <w:b/>
      <w:sz w:val="28"/>
      <w:szCs w:val="24"/>
      <w:lang w:val="en-US"/>
    </w:rPr>
  </w:style>
  <w:style w:type="paragraph" w:customStyle="1" w:styleId="JEM23SUBHEADING">
    <w:name w:val="JEM_2.3 SUBHEADING"/>
    <w:basedOn w:val="Normal"/>
    <w:next w:val="JEM21HEADINGPENDAHULUANdll"/>
    <w:qFormat/>
    <w:rsid w:val="00FB1534"/>
    <w:pPr>
      <w:spacing w:after="0" w:line="240" w:lineRule="auto"/>
      <w:jc w:val="both"/>
    </w:pPr>
    <w:rPr>
      <w:rFonts w:ascii="Times New Roman" w:eastAsia="Times New Roman" w:hAnsi="Times New Roman" w:cs="SimSun"/>
      <w:b/>
      <w:sz w:val="24"/>
      <w:szCs w:val="24"/>
      <w:lang w:val="en-GB"/>
    </w:rPr>
  </w:style>
  <w:style w:type="table" w:styleId="TableGrid">
    <w:name w:val="Table Grid"/>
    <w:basedOn w:val="TableNormal"/>
    <w:uiPriority w:val="59"/>
    <w:rsid w:val="00FB1534"/>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867E1"/>
    <w:pPr>
      <w:spacing w:after="0" w:line="240" w:lineRule="auto"/>
      <w:ind w:left="720" w:hanging="720"/>
    </w:pPr>
  </w:style>
  <w:style w:type="paragraph" w:customStyle="1" w:styleId="Default">
    <w:name w:val="Default"/>
    <w:rsid w:val="00DB713C"/>
    <w:pPr>
      <w:autoSpaceDE w:val="0"/>
      <w:autoSpaceDN w:val="0"/>
      <w:adjustRightInd w:val="0"/>
      <w:spacing w:after="0" w:line="240" w:lineRule="auto"/>
    </w:pPr>
    <w:rPr>
      <w:rFonts w:eastAsiaTheme="minorHAnsi" w:cs="Calibri"/>
      <w:color w:val="000000"/>
      <w:sz w:val="24"/>
      <w:szCs w:val="24"/>
      <w:lang w:val="id-ID"/>
    </w:rPr>
  </w:style>
  <w:style w:type="character" w:styleId="Hyperlink">
    <w:name w:val="Hyperlink"/>
    <w:basedOn w:val="DefaultParagraphFont"/>
    <w:uiPriority w:val="99"/>
    <w:unhideWhenUsed/>
    <w:rsid w:val="00DB713C"/>
    <w:rPr>
      <w:color w:val="0000FF" w:themeColor="hyperlink"/>
      <w:u w:val="single"/>
    </w:rPr>
  </w:style>
  <w:style w:type="character" w:styleId="UnresolvedMention">
    <w:name w:val="Unresolved Mention"/>
    <w:basedOn w:val="DefaultParagraphFont"/>
    <w:uiPriority w:val="99"/>
    <w:semiHidden/>
    <w:unhideWhenUsed/>
    <w:rsid w:val="005C3F12"/>
    <w:rPr>
      <w:color w:val="605E5C"/>
      <w:shd w:val="clear" w:color="auto" w:fill="E1DFDD"/>
    </w:rPr>
  </w:style>
  <w:style w:type="character" w:customStyle="1" w:styleId="FootnoteTextChar1">
    <w:name w:val="Footnote Text Char1"/>
    <w:aliases w:val="Char Char Char1 Char,Char Char Char Char1 Char,Char Char Char Char Char Char  Char Char Char,Char Char Char Char Char Char,Footnote Text Char Char Char Char Char Char,Footnote Text Char Char Char Char1 Char,Char Char Char Char Char1"/>
    <w:uiPriority w:val="99"/>
    <w:locked/>
    <w:rsid w:val="004A3168"/>
    <w:rPr>
      <w:rFonts w:ascii="Calibri" w:eastAsia="Times New Roman" w:hAnsi="Calibri" w:cs="Calibri"/>
      <w:kern w:val="0"/>
      <w:sz w:val="20"/>
      <w:szCs w:val="20"/>
      <w:lang w:val="en-US"/>
      <w14:ligatures w14:val="none"/>
    </w:rPr>
  </w:style>
  <w:style w:type="character" w:customStyle="1" w:styleId="ListParagraphChar">
    <w:name w:val="List Paragraph Char"/>
    <w:aliases w:val="Body Text Char1 Char,Char Char2 Char,List Paragraph1 Char,List Paragraph11 Char,list paragraph Char,List Paragraph2 Char,kepala Char,Heading 2 Char1 Char,Heading 10 Char,Body of text Char,Sub Judul DEA KP Char,Char Char21 Char"/>
    <w:link w:val="ListParagraph"/>
    <w:uiPriority w:val="34"/>
    <w:qFormat/>
    <w:rsid w:val="004A3168"/>
    <w:rPr>
      <w:rFonts w:asciiTheme="minorHAnsi" w:eastAsiaTheme="minorHAnsi" w:hAnsiTheme="minorHAnsi" w:cstheme="minorBidi"/>
      <w:lang w:val="en-ID"/>
    </w:rPr>
  </w:style>
  <w:style w:type="character" w:customStyle="1" w:styleId="Heading5Char">
    <w:name w:val="Heading 5 Char"/>
    <w:basedOn w:val="DefaultParagraphFont"/>
    <w:link w:val="Heading5"/>
    <w:uiPriority w:val="9"/>
    <w:semiHidden/>
    <w:rsid w:val="000F1F54"/>
    <w:rPr>
      <w:rFonts w:asciiTheme="majorHAnsi" w:eastAsiaTheme="majorEastAsia" w:hAnsiTheme="majorHAnsi" w:cstheme="majorBidi"/>
      <w:color w:val="365F91" w:themeColor="accent1" w:themeShade="BF"/>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9385">
      <w:bodyDiv w:val="1"/>
      <w:marLeft w:val="0"/>
      <w:marRight w:val="0"/>
      <w:marTop w:val="0"/>
      <w:marBottom w:val="0"/>
      <w:divBdr>
        <w:top w:val="none" w:sz="0" w:space="0" w:color="auto"/>
        <w:left w:val="none" w:sz="0" w:space="0" w:color="auto"/>
        <w:bottom w:val="none" w:sz="0" w:space="0" w:color="auto"/>
        <w:right w:val="none" w:sz="0" w:space="0" w:color="auto"/>
      </w:divBdr>
    </w:div>
    <w:div w:id="619994670">
      <w:bodyDiv w:val="1"/>
      <w:marLeft w:val="0"/>
      <w:marRight w:val="0"/>
      <w:marTop w:val="0"/>
      <w:marBottom w:val="0"/>
      <w:divBdr>
        <w:top w:val="none" w:sz="0" w:space="0" w:color="auto"/>
        <w:left w:val="none" w:sz="0" w:space="0" w:color="auto"/>
        <w:bottom w:val="none" w:sz="0" w:space="0" w:color="auto"/>
        <w:right w:val="none" w:sz="0" w:space="0" w:color="auto"/>
      </w:divBdr>
    </w:div>
    <w:div w:id="841238003">
      <w:bodyDiv w:val="1"/>
      <w:marLeft w:val="0"/>
      <w:marRight w:val="0"/>
      <w:marTop w:val="0"/>
      <w:marBottom w:val="0"/>
      <w:divBdr>
        <w:top w:val="none" w:sz="0" w:space="0" w:color="auto"/>
        <w:left w:val="none" w:sz="0" w:space="0" w:color="auto"/>
        <w:bottom w:val="none" w:sz="0" w:space="0" w:color="auto"/>
        <w:right w:val="none" w:sz="0" w:space="0" w:color="auto"/>
      </w:divBdr>
    </w:div>
    <w:div w:id="865799589">
      <w:bodyDiv w:val="1"/>
      <w:marLeft w:val="0"/>
      <w:marRight w:val="0"/>
      <w:marTop w:val="0"/>
      <w:marBottom w:val="0"/>
      <w:divBdr>
        <w:top w:val="none" w:sz="0" w:space="0" w:color="auto"/>
        <w:left w:val="none" w:sz="0" w:space="0" w:color="auto"/>
        <w:bottom w:val="none" w:sz="0" w:space="0" w:color="auto"/>
        <w:right w:val="none" w:sz="0" w:space="0" w:color="auto"/>
      </w:divBdr>
    </w:div>
    <w:div w:id="996107116">
      <w:bodyDiv w:val="1"/>
      <w:marLeft w:val="0"/>
      <w:marRight w:val="0"/>
      <w:marTop w:val="0"/>
      <w:marBottom w:val="0"/>
      <w:divBdr>
        <w:top w:val="none" w:sz="0" w:space="0" w:color="auto"/>
        <w:left w:val="none" w:sz="0" w:space="0" w:color="auto"/>
        <w:bottom w:val="none" w:sz="0" w:space="0" w:color="auto"/>
        <w:right w:val="none" w:sz="0" w:space="0" w:color="auto"/>
      </w:divBdr>
    </w:div>
    <w:div w:id="1050836919">
      <w:bodyDiv w:val="1"/>
      <w:marLeft w:val="0"/>
      <w:marRight w:val="0"/>
      <w:marTop w:val="0"/>
      <w:marBottom w:val="0"/>
      <w:divBdr>
        <w:top w:val="none" w:sz="0" w:space="0" w:color="auto"/>
        <w:left w:val="none" w:sz="0" w:space="0" w:color="auto"/>
        <w:bottom w:val="none" w:sz="0" w:space="0" w:color="auto"/>
        <w:right w:val="none" w:sz="0" w:space="0" w:color="auto"/>
      </w:divBdr>
    </w:div>
    <w:div w:id="1409576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eronica@indpex.com"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katadata.co.id/indepth/opini/67f85b75f3100/monopoli-kewenangan-presiden-dalam-uu-bum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4A8687E-99AA-4A77-A575-A2639A29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5701</Words>
  <Characters>32500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Editorial Team</dc:creator>
  <cp:lastModifiedBy>Geofani Milthree Saragih</cp:lastModifiedBy>
  <cp:revision>2</cp:revision>
  <dcterms:created xsi:type="dcterms:W3CDTF">2025-12-18T20:51:00Z</dcterms:created>
  <dcterms:modified xsi:type="dcterms:W3CDTF">2025-12-18T20:51:00Z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4d3e0fce-37b6-3f99-b751-9ca935129d55</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http://www.zotero.org/styles/al-jamiah-journal-of-islamic-studies-indonesia</vt:lpwstr>
  </property>
  <property fmtid="{D5CDD505-2E9C-101B-9397-08002B2CF9AE}" pid="6" name="Mendeley Recent Style Name 0_1">
    <vt:lpwstr>Al-Jami'ah Journal of Islamic Studies Indonesia</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http://www.zotero.org/styles/apa-annotated-bibliography</vt:lpwstr>
  </property>
  <property fmtid="{D5CDD505-2E9C-101B-9397-08002B2CF9AE}" pid="10" name="Mendeley Recent Style Name 2_1">
    <vt:lpwstr>American Psychological Association 7th edition (annotated bibliography)</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y fmtid="{D5CDD505-2E9C-101B-9397-08002B2CF9AE}" pid="25" name="ZOTERO_PREF_1">
    <vt:lpwstr>&lt;data data-version="3" zotero-version="7.0.30"&gt;&lt;session id="NGYE2bhD"/&gt;&lt;style id="http://www.zotero.org/styles/chicago-fullnote-bibliography" locale="en-US" hasBibliography="1" bibliographyStyleHasBeenSet="1"/&gt;&lt;prefs&gt;&lt;pref name="noteType" value="1"/&gt;&lt;pref</vt:lpwstr>
  </property>
  <property fmtid="{D5CDD505-2E9C-101B-9397-08002B2CF9AE}" pid="26" name="ZOTERO_PREF_2">
    <vt:lpwstr> name="fieldType" value="Field"/&gt;&lt;/prefs&gt;&lt;/data&gt;</vt:lpwstr>
  </property>
</Properties>
</file>